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50"/>
        <w:gridCol w:w="1559"/>
        <w:gridCol w:w="2100"/>
        <w:gridCol w:w="40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0"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建设项目名称</w:t>
            </w:r>
          </w:p>
        </w:tc>
        <w:tc>
          <w:tcPr>
            <w:tcW w:w="7720" w:type="dxa"/>
            <w:gridSpan w:val="3"/>
            <w:vAlign w:val="center"/>
          </w:tcPr>
          <w:p>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天津联发建筑安装工程有限公司新建项目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0"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项目代码</w:t>
            </w:r>
          </w:p>
        </w:tc>
        <w:tc>
          <w:tcPr>
            <w:tcW w:w="7720" w:type="dxa"/>
            <w:gridSpan w:val="3"/>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2311-120116-89-05-293508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0"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建设单位联系人</w:t>
            </w:r>
          </w:p>
        </w:tc>
        <w:tc>
          <w:tcPr>
            <w:tcW w:w="1559"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邸爱华</w:t>
            </w:r>
          </w:p>
        </w:tc>
        <w:tc>
          <w:tcPr>
            <w:tcW w:w="2100"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联系方式</w:t>
            </w:r>
          </w:p>
        </w:tc>
        <w:tc>
          <w:tcPr>
            <w:tcW w:w="4061"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18526845835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0"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建设地点</w:t>
            </w:r>
          </w:p>
        </w:tc>
        <w:tc>
          <w:tcPr>
            <w:tcW w:w="7720" w:type="dxa"/>
            <w:gridSpan w:val="3"/>
            <w:vAlign w:val="center"/>
          </w:tcPr>
          <w:p>
            <w:pPr>
              <w:adjustRightInd w:val="0"/>
              <w:snapToGrid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天津市滨海新区大港海洋石化科技园区迎宾街623#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50"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7720" w:type="dxa"/>
            <w:gridSpan w:val="3"/>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u w:val="single"/>
              </w:rPr>
              <w:t xml:space="preserve"> 东经117 </w:t>
            </w:r>
            <w:r>
              <w:rPr>
                <w:rFonts w:hint="default" w:ascii="Times New Roman" w:hAnsi="Times New Roman" w:cs="Times New Roman"/>
                <w:color w:val="auto"/>
                <w:sz w:val="21"/>
                <w:szCs w:val="21"/>
                <w:highlight w:val="none"/>
              </w:rPr>
              <w:t>度</w:t>
            </w:r>
            <w:r>
              <w:rPr>
                <w:rFonts w:hint="default" w:ascii="Times New Roman" w:hAnsi="Times New Roman" w:cs="Times New Roman"/>
                <w:color w:val="auto"/>
                <w:sz w:val="21"/>
                <w:szCs w:val="21"/>
                <w:highlight w:val="none"/>
                <w:u w:val="single"/>
              </w:rPr>
              <w:t xml:space="preserve"> 2</w:t>
            </w:r>
            <w:r>
              <w:rPr>
                <w:rFonts w:hint="eastAsia" w:cs="Times New Roman"/>
                <w:color w:val="auto"/>
                <w:sz w:val="21"/>
                <w:szCs w:val="21"/>
                <w:highlight w:val="none"/>
                <w:u w:val="single"/>
                <w:lang w:val="en-US" w:eastAsia="zh-CN"/>
              </w:rPr>
              <w:t>7</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分</w:t>
            </w:r>
            <w:r>
              <w:rPr>
                <w:rFonts w:hint="default" w:ascii="Times New Roman" w:hAnsi="Times New Roman" w:cs="Times New Roman"/>
                <w:color w:val="auto"/>
                <w:sz w:val="21"/>
                <w:szCs w:val="21"/>
                <w:highlight w:val="none"/>
                <w:u w:val="single"/>
              </w:rPr>
              <w:t xml:space="preserve"> 3</w:t>
            </w:r>
            <w:r>
              <w:rPr>
                <w:rFonts w:hint="eastAsia" w:cs="Times New Roman"/>
                <w:color w:val="auto"/>
                <w:sz w:val="21"/>
                <w:szCs w:val="21"/>
                <w:highlight w:val="none"/>
                <w:u w:val="single"/>
                <w:lang w:val="en-US" w:eastAsia="zh-CN"/>
              </w:rPr>
              <w:t>1</w:t>
            </w:r>
            <w:r>
              <w:rPr>
                <w:rFonts w:hint="default" w:ascii="Times New Roman" w:hAnsi="Times New Roman" w:cs="Times New Roman"/>
                <w:color w:val="auto"/>
                <w:sz w:val="21"/>
                <w:szCs w:val="21"/>
                <w:highlight w:val="none"/>
                <w:u w:val="single"/>
              </w:rPr>
              <w:t>.</w:t>
            </w:r>
            <w:r>
              <w:rPr>
                <w:rFonts w:hint="eastAsia" w:cs="Times New Roman"/>
                <w:color w:val="auto"/>
                <w:sz w:val="21"/>
                <w:szCs w:val="21"/>
                <w:highlight w:val="none"/>
                <w:u w:val="single"/>
                <w:lang w:val="en-US" w:eastAsia="zh-CN"/>
              </w:rPr>
              <w:t>075</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秒，</w:t>
            </w:r>
            <w:r>
              <w:rPr>
                <w:rFonts w:hint="default" w:ascii="Times New Roman" w:hAnsi="Times New Roman" w:cs="Times New Roman"/>
                <w:color w:val="auto"/>
                <w:sz w:val="21"/>
                <w:szCs w:val="21"/>
                <w:highlight w:val="none"/>
                <w:u w:val="single"/>
              </w:rPr>
              <w:t xml:space="preserve"> 北纬3</w:t>
            </w:r>
            <w:r>
              <w:rPr>
                <w:rFonts w:hint="eastAsia" w:cs="Times New Roman"/>
                <w:color w:val="auto"/>
                <w:sz w:val="21"/>
                <w:szCs w:val="21"/>
                <w:highlight w:val="none"/>
                <w:u w:val="single"/>
                <w:lang w:val="en-US" w:eastAsia="zh-CN"/>
              </w:rPr>
              <w:t>8</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度</w:t>
            </w:r>
            <w:r>
              <w:rPr>
                <w:rFonts w:hint="default" w:ascii="Times New Roman" w:hAnsi="Times New Roman" w:cs="Times New Roman"/>
                <w:color w:val="auto"/>
                <w:sz w:val="21"/>
                <w:szCs w:val="21"/>
                <w:highlight w:val="none"/>
                <w:u w:val="single"/>
              </w:rPr>
              <w:t xml:space="preserve"> 4</w:t>
            </w:r>
            <w:r>
              <w:rPr>
                <w:rFonts w:hint="eastAsia" w:cs="Times New Roman"/>
                <w:color w:val="auto"/>
                <w:sz w:val="21"/>
                <w:szCs w:val="21"/>
                <w:highlight w:val="none"/>
                <w:u w:val="single"/>
                <w:lang w:val="en-US" w:eastAsia="zh-CN"/>
              </w:rPr>
              <w:t>9</w:t>
            </w:r>
            <w:r>
              <w:rPr>
                <w:rFonts w:hint="default" w:ascii="Times New Roman" w:hAnsi="Times New Roman" w:cs="Times New Roman"/>
                <w:color w:val="auto"/>
                <w:sz w:val="21"/>
                <w:szCs w:val="21"/>
                <w:highlight w:val="none"/>
                <w:u w:val="single"/>
              </w:rPr>
              <w:t xml:space="preserve"> </w:t>
            </w:r>
            <w:r>
              <w:rPr>
                <w:rFonts w:hint="default" w:ascii="Times New Roman" w:hAnsi="Times New Roman" w:cs="Times New Roman"/>
                <w:color w:val="auto"/>
                <w:sz w:val="21"/>
                <w:szCs w:val="21"/>
                <w:highlight w:val="none"/>
              </w:rPr>
              <w:t>分</w:t>
            </w:r>
            <w:r>
              <w:rPr>
                <w:rFonts w:hint="default" w:ascii="Times New Roman" w:hAnsi="Times New Roman" w:cs="Times New Roman"/>
                <w:color w:val="auto"/>
                <w:sz w:val="21"/>
                <w:szCs w:val="21"/>
                <w:highlight w:val="none"/>
                <w:u w:val="single"/>
              </w:rPr>
              <w:t xml:space="preserve"> </w:t>
            </w:r>
            <w:r>
              <w:rPr>
                <w:rFonts w:hint="eastAsia" w:cs="Times New Roman"/>
                <w:color w:val="auto"/>
                <w:sz w:val="21"/>
                <w:szCs w:val="21"/>
                <w:highlight w:val="none"/>
                <w:u w:val="single"/>
                <w:lang w:val="en-US" w:eastAsia="zh-CN"/>
              </w:rPr>
              <w:t>7.184</w:t>
            </w:r>
            <w:r>
              <w:rPr>
                <w:rFonts w:hint="default" w:ascii="Times New Roman" w:hAnsi="Times New Roman" w:cs="Times New Roman"/>
                <w:color w:val="auto"/>
                <w:sz w:val="21"/>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8" w:hRule="atLeast"/>
          <w:jc w:val="center"/>
        </w:trPr>
        <w:tc>
          <w:tcPr>
            <w:tcW w:w="1150"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国民经济</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1559" w:type="dxa"/>
            <w:vAlign w:val="center"/>
          </w:tcPr>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C3311金属结构制造</w:t>
            </w:r>
          </w:p>
        </w:tc>
        <w:tc>
          <w:tcPr>
            <w:tcW w:w="2100" w:type="dxa"/>
            <w:vAlign w:val="center"/>
          </w:tcPr>
          <w:p>
            <w:pPr>
              <w:adjustRightInd w:val="0"/>
              <w:snapToGrid w:val="0"/>
              <w:jc w:val="center"/>
              <w:rPr>
                <w:rFonts w:hint="default" w:ascii="Times New Roman" w:hAnsi="Times New Roman" w:cs="Times New Roman"/>
                <w:color w:val="auto"/>
                <w:sz w:val="21"/>
                <w:szCs w:val="21"/>
                <w:highlight w:val="none"/>
              </w:rPr>
            </w:pPr>
            <w:bookmarkStart w:id="0" w:name="_Hlk49843745"/>
            <w:r>
              <w:rPr>
                <w:rFonts w:hint="default" w:ascii="Times New Roman" w:hAnsi="Times New Roman" w:cs="Times New Roman"/>
                <w:color w:val="auto"/>
                <w:sz w:val="21"/>
                <w:szCs w:val="21"/>
                <w:highlight w:val="none"/>
              </w:rPr>
              <w:t>建设项目</w:t>
            </w:r>
          </w:p>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行业类别</w:t>
            </w:r>
            <w:bookmarkEnd w:id="0"/>
          </w:p>
        </w:tc>
        <w:tc>
          <w:tcPr>
            <w:tcW w:w="4061" w:type="dxa"/>
            <w:vAlign w:val="center"/>
          </w:tcPr>
          <w:p>
            <w:pPr>
              <w:adjustRightInd w:val="0"/>
              <w:snapToGrid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三十、金属制品业33 结构性金属制品制造 331 其他（仅分割、焊接、组装的除外；年用非溶剂型低VO</w:t>
            </w:r>
            <w:bookmarkStart w:id="6" w:name="_GoBack"/>
            <w:bookmarkEnd w:id="6"/>
            <w:r>
              <w:rPr>
                <w:rFonts w:hint="eastAsia" w:cs="Times New Roman"/>
                <w:color w:val="auto"/>
                <w:sz w:val="21"/>
                <w:szCs w:val="21"/>
                <w:highlight w:val="none"/>
                <w:lang w:val="en-US" w:eastAsia="zh-CN"/>
              </w:rPr>
              <w:t>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0"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w:t>
            </w:r>
          </w:p>
        </w:tc>
        <w:tc>
          <w:tcPr>
            <w:tcW w:w="1559" w:type="dxa"/>
            <w:vAlign w:val="center"/>
          </w:tcPr>
          <w:p>
            <w:pPr>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新建</w:t>
            </w:r>
          </w:p>
          <w:p>
            <w:pPr>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改建</w:t>
            </w:r>
          </w:p>
          <w:p>
            <w:pPr>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扩建</w:t>
            </w:r>
          </w:p>
          <w:p>
            <w:pPr>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技术改造</w:t>
            </w:r>
          </w:p>
        </w:tc>
        <w:tc>
          <w:tcPr>
            <w:tcW w:w="2100"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w:t>
            </w:r>
          </w:p>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申报情形</w:t>
            </w:r>
          </w:p>
        </w:tc>
        <w:tc>
          <w:tcPr>
            <w:tcW w:w="4061" w:type="dxa"/>
            <w:vAlign w:val="center"/>
          </w:tcPr>
          <w:p>
            <w:pPr>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首次申报项目</w:t>
            </w:r>
          </w:p>
          <w:p>
            <w:pPr>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不予批准后再次申报项目</w:t>
            </w:r>
          </w:p>
          <w:p>
            <w:pPr>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超五年重新审核项目</w:t>
            </w:r>
          </w:p>
          <w:p>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重大变动重新报批项目</w:t>
            </w:r>
            <w:r>
              <w:rPr>
                <w:rFonts w:hint="eastAsia" w:cs="Times New Roman"/>
                <w:color w:val="auto"/>
                <w:sz w:val="21"/>
                <w:szCs w:val="21"/>
                <w:highlight w:val="none"/>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50"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项目审批（核准/备案）部门（选填）</w:t>
            </w:r>
          </w:p>
        </w:tc>
        <w:tc>
          <w:tcPr>
            <w:tcW w:w="1559"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天津市</w:t>
            </w:r>
            <w:r>
              <w:rPr>
                <w:rFonts w:hint="eastAsia" w:cs="Times New Roman"/>
                <w:color w:val="auto"/>
                <w:sz w:val="21"/>
                <w:szCs w:val="21"/>
                <w:highlight w:val="none"/>
                <w:lang w:val="en-US" w:eastAsia="zh-CN"/>
              </w:rPr>
              <w:t>滨海新</w:t>
            </w:r>
            <w:r>
              <w:rPr>
                <w:rFonts w:hint="default" w:ascii="Times New Roman" w:hAnsi="Times New Roman" w:cs="Times New Roman"/>
                <w:color w:val="auto"/>
                <w:sz w:val="21"/>
                <w:szCs w:val="21"/>
                <w:highlight w:val="none"/>
              </w:rPr>
              <w:t>区行政审批局</w:t>
            </w:r>
          </w:p>
        </w:tc>
        <w:tc>
          <w:tcPr>
            <w:tcW w:w="2100" w:type="dxa"/>
            <w:shd w:val="clear" w:color="auto" w:fill="auto"/>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项目审批（核准/</w:t>
            </w:r>
          </w:p>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备案）文号（选填）</w:t>
            </w:r>
          </w:p>
        </w:tc>
        <w:tc>
          <w:tcPr>
            <w:tcW w:w="4061" w:type="dxa"/>
            <w:vAlign w:val="center"/>
          </w:tcPr>
          <w:p>
            <w:pPr>
              <w:adjustRightInd w:val="0"/>
              <w:snapToGrid w:val="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三十、金属制品业33 结构性金属制品制造331 其他（仅分割、焊接、组装的除外；年</w:t>
            </w:r>
          </w:p>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0"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1559" w:type="dxa"/>
            <w:vAlign w:val="center"/>
          </w:tcPr>
          <w:p>
            <w:pPr>
              <w:adjustRightInd w:val="0"/>
              <w:snapToGrid w:val="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00</w:t>
            </w:r>
          </w:p>
        </w:tc>
        <w:tc>
          <w:tcPr>
            <w:tcW w:w="2100" w:type="dxa"/>
            <w:shd w:val="clear" w:color="auto" w:fill="auto"/>
            <w:tcMar>
              <w:top w:w="16" w:type="dxa"/>
              <w:left w:w="16" w:type="dxa"/>
              <w:right w:w="16"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环保投资（万元）</w:t>
            </w:r>
          </w:p>
        </w:tc>
        <w:tc>
          <w:tcPr>
            <w:tcW w:w="406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7" w:hRule="atLeast"/>
          <w:jc w:val="center"/>
        </w:trPr>
        <w:tc>
          <w:tcPr>
            <w:tcW w:w="1150"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1559"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2100" w:type="dxa"/>
            <w:shd w:val="clear" w:color="auto" w:fill="auto"/>
            <w:tcMar>
              <w:top w:w="16" w:type="dxa"/>
              <w:left w:w="16" w:type="dxa"/>
              <w:right w:w="16" w:type="dxa"/>
            </w:tcMar>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施工工期</w:t>
            </w:r>
          </w:p>
        </w:tc>
        <w:tc>
          <w:tcPr>
            <w:tcW w:w="4061" w:type="dxa"/>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3</w:t>
            </w:r>
            <w:r>
              <w:rPr>
                <w:rFonts w:hint="default" w:ascii="Times New Roman" w:hAnsi="Times New Roman" w:eastAsia="宋体" w:cs="Times New Roman"/>
                <w:color w:val="auto"/>
                <w:sz w:val="21"/>
                <w:szCs w:val="21"/>
                <w:highlight w:val="none"/>
                <w:lang w:val="en-US" w:eastAsia="zh-CN" w:bidi="ar-SA"/>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50"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1559" w:type="dxa"/>
            <w:vAlign w:val="center"/>
          </w:tcPr>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52"/>
            </w:r>
            <w:r>
              <w:rPr>
                <w:rFonts w:hint="default" w:ascii="Times New Roman" w:hAnsi="Times New Roman" w:cs="Times New Roman"/>
                <w:color w:val="auto"/>
                <w:sz w:val="21"/>
                <w:szCs w:val="21"/>
                <w:highlight w:val="none"/>
              </w:rPr>
              <w:t>否</w:t>
            </w:r>
          </w:p>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2" w:char="00A3"/>
            </w:r>
            <w:r>
              <w:rPr>
                <w:rFonts w:hint="default" w:ascii="Times New Roman" w:hAnsi="Times New Roman" w:cs="Times New Roman"/>
                <w:color w:val="auto"/>
                <w:sz w:val="21"/>
                <w:szCs w:val="21"/>
                <w:highlight w:val="none"/>
              </w:rPr>
              <w:t>是：</w:t>
            </w:r>
            <w:r>
              <w:rPr>
                <w:rFonts w:hint="default" w:ascii="Times New Roman" w:hAnsi="Times New Roman" w:cs="Times New Roman"/>
                <w:color w:val="auto"/>
                <w:sz w:val="21"/>
                <w:szCs w:val="21"/>
                <w:highlight w:val="none"/>
                <w:u w:val="single"/>
              </w:rPr>
              <w:t xml:space="preserve">          </w:t>
            </w:r>
          </w:p>
        </w:tc>
        <w:tc>
          <w:tcPr>
            <w:tcW w:w="2100" w:type="dxa"/>
            <w:shd w:val="clear" w:color="auto" w:fill="auto"/>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pacing w:val="-6"/>
                <w:sz w:val="21"/>
                <w:szCs w:val="21"/>
                <w:highlight w:val="none"/>
              </w:rPr>
              <w:t>用地（用海）</w:t>
            </w:r>
          </w:p>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面积（m</w:t>
            </w:r>
            <w:r>
              <w:rPr>
                <w:rFonts w:hint="default" w:ascii="Times New Roman" w:hAnsi="Times New Roman" w:cs="Times New Roman"/>
                <w:color w:val="auto"/>
                <w:spacing w:val="-6"/>
                <w:sz w:val="21"/>
                <w:szCs w:val="21"/>
                <w:highlight w:val="none"/>
                <w:vertAlign w:val="superscript"/>
              </w:rPr>
              <w:t>2</w:t>
            </w:r>
            <w:r>
              <w:rPr>
                <w:rFonts w:hint="default" w:ascii="Times New Roman" w:hAnsi="Times New Roman" w:cs="Times New Roman"/>
                <w:color w:val="auto"/>
                <w:spacing w:val="-6"/>
                <w:sz w:val="21"/>
                <w:szCs w:val="21"/>
                <w:highlight w:val="none"/>
              </w:rPr>
              <w:t>）</w:t>
            </w:r>
          </w:p>
        </w:tc>
        <w:tc>
          <w:tcPr>
            <w:tcW w:w="4061" w:type="dxa"/>
            <w:vAlign w:val="center"/>
          </w:tcPr>
          <w:p>
            <w:pPr>
              <w:pStyle w:val="16"/>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35868.7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vAlign w:val="center"/>
          </w:tcPr>
          <w:p>
            <w:pPr>
              <w:autoSpaceDE w:val="0"/>
              <w:autoSpaceDN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专项评价设置情况</w:t>
            </w:r>
          </w:p>
        </w:tc>
        <w:tc>
          <w:tcPr>
            <w:tcW w:w="7720" w:type="dxa"/>
            <w:gridSpan w:val="3"/>
            <w:vAlign w:val="center"/>
          </w:tcPr>
          <w:p>
            <w:pPr>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vAlign w:val="center"/>
          </w:tcPr>
          <w:p>
            <w:pPr>
              <w:autoSpaceDE w:val="0"/>
              <w:autoSpaceDN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规划情况</w:t>
            </w:r>
          </w:p>
        </w:tc>
        <w:tc>
          <w:tcPr>
            <w:tcW w:w="7720" w:type="dxa"/>
            <w:gridSpan w:val="3"/>
            <w:vAlign w:val="center"/>
          </w:tcPr>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大港石化产业园区位于滨海新区南片区北部，属于石化三角地分区DGb（09）02单元，2010年4月《石化三角地分区DGb（09）02单元控制性详细规划》编制完成，并取得天津市滨海新区人民政府下发的《关于对滨海新区北片区、核心区、南片区控制性详细规划的批复》（津滨政函</w:t>
            </w:r>
            <w:r>
              <w:rPr>
                <w:rFonts w:hint="eastAsia" w:cs="Times New Roman"/>
                <w:color w:val="auto"/>
                <w:highlight w:val="none"/>
                <w:lang w:eastAsia="zh-CN"/>
              </w:rPr>
              <w:t>〔</w:t>
            </w:r>
            <w:r>
              <w:rPr>
                <w:rFonts w:hint="default" w:ascii="Times New Roman" w:hAnsi="Times New Roman" w:cs="Times New Roman"/>
                <w:color w:val="auto"/>
                <w:highlight w:val="none"/>
              </w:rPr>
              <w:t>2010</w:t>
            </w:r>
            <w:r>
              <w:rPr>
                <w:rFonts w:hint="eastAsia" w:cs="Times New Roman"/>
                <w:color w:val="auto"/>
                <w:highlight w:val="none"/>
                <w:lang w:eastAsia="zh-CN"/>
              </w:rPr>
              <w:t>〕</w:t>
            </w:r>
            <w:r>
              <w:rPr>
                <w:rFonts w:hint="default" w:ascii="Times New Roman" w:hAnsi="Times New Roman" w:cs="Times New Roman"/>
                <w:color w:val="auto"/>
                <w:highlight w:val="none"/>
              </w:rPr>
              <w:t>26号）。</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2018年启动了《石化三角地分区DGb（09）02单元控制性详细规划》修编工作，对大港石化产业园区部分地块的用地性质进行了变更，取得了天津市滨海新区人民政府批复（津滨政函</w:t>
            </w:r>
            <w:r>
              <w:rPr>
                <w:rFonts w:hint="eastAsia" w:cs="Times New Roman"/>
                <w:color w:val="auto"/>
                <w:highlight w:val="none"/>
                <w:lang w:eastAsia="zh-CN"/>
              </w:rPr>
              <w:t>〔</w:t>
            </w:r>
            <w:r>
              <w:rPr>
                <w:rFonts w:hint="default" w:ascii="Times New Roman" w:hAnsi="Times New Roman" w:cs="Times New Roman"/>
                <w:color w:val="auto"/>
                <w:highlight w:val="none"/>
              </w:rPr>
              <w:t>2018</w:t>
            </w:r>
            <w:r>
              <w:rPr>
                <w:rFonts w:hint="eastAsia" w:cs="Times New Roman"/>
                <w:color w:val="auto"/>
                <w:highlight w:val="none"/>
                <w:lang w:eastAsia="zh-CN"/>
              </w:rPr>
              <w:t>〕</w:t>
            </w:r>
            <w:r>
              <w:rPr>
                <w:rFonts w:hint="default" w:ascii="Times New Roman" w:hAnsi="Times New Roman" w:cs="Times New Roman"/>
                <w:color w:val="auto"/>
                <w:highlight w:val="none"/>
              </w:rPr>
              <w:t>136号）。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规划环境影响评价情况</w:t>
            </w:r>
          </w:p>
        </w:tc>
        <w:tc>
          <w:tcPr>
            <w:tcW w:w="7720" w:type="dxa"/>
            <w:gridSpan w:val="3"/>
            <w:vAlign w:val="center"/>
          </w:tcPr>
          <w:p>
            <w:pPr>
              <w:pStyle w:val="23"/>
              <w:spacing w:line="360" w:lineRule="auto"/>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规划环境影响评价文件名称：《天津大港石化产业园区控制性详细规划环境影响报告书》；</w:t>
            </w:r>
          </w:p>
          <w:p>
            <w:pPr>
              <w:pStyle w:val="23"/>
              <w:spacing w:line="360" w:lineRule="auto"/>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召集审查机关：天津市滨海新区生态环境局；</w:t>
            </w:r>
          </w:p>
          <w:p>
            <w:pPr>
              <w:pStyle w:val="23"/>
              <w:spacing w:line="360" w:lineRule="auto"/>
              <w:ind w:left="0" w:leftChars="0"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审查文件名称及文号：《关于天津大港石化产业园区控制性详细规划环境影响报告书的复函》（津滨环审[2020]19号）。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0" w:type="dxa"/>
            <w:vAlign w:val="center"/>
          </w:tcPr>
          <w:p>
            <w:pPr>
              <w:autoSpaceDE w:val="0"/>
              <w:autoSpaceDN w:val="0"/>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规划及规划环境影响评价符合性分析</w:t>
            </w:r>
          </w:p>
        </w:tc>
        <w:tc>
          <w:tcPr>
            <w:tcW w:w="7720" w:type="dxa"/>
            <w:gridSpan w:val="3"/>
            <w:vAlign w:val="center"/>
          </w:tcPr>
          <w:p>
            <w:pPr>
              <w:pStyle w:val="108"/>
              <w:rPr>
                <w:rFonts w:eastAsiaTheme="minorEastAsia"/>
                <w:color w:val="auto"/>
                <w:highlight w:val="none"/>
              </w:rPr>
            </w:pPr>
            <w:r>
              <w:rPr>
                <w:rFonts w:eastAsiaTheme="minorEastAsia"/>
                <w:color w:val="auto"/>
                <w:highlight w:val="none"/>
              </w:rPr>
              <w:t>（1）园区规划符合性</w:t>
            </w:r>
          </w:p>
          <w:p>
            <w:pPr>
              <w:pStyle w:val="108"/>
              <w:rPr>
                <w:rFonts w:eastAsiaTheme="minorEastAsia"/>
                <w:color w:val="auto"/>
                <w:highlight w:val="none"/>
              </w:rPr>
            </w:pPr>
            <w:r>
              <w:rPr>
                <w:rFonts w:eastAsiaTheme="minorEastAsia"/>
                <w:color w:val="auto"/>
                <w:highlight w:val="none"/>
              </w:rPr>
              <w:t>根据《天津大港石化产业园区控制性详细规划》，大港石化产业园区的产业定位为：保留石油化工产业，限制其发展规模，禁止新建相关项目；适当发展精细化工，医药产业；延展发展机械、塑料等制造业，新材料，积极发展生产型服务业，实现先进制造业和现代服务业融合发展。</w:t>
            </w:r>
          </w:p>
          <w:p>
            <w:pPr>
              <w:pStyle w:val="109"/>
              <w:numPr>
                <w:ilvl w:val="0"/>
                <w:numId w:val="0"/>
              </w:numPr>
              <w:ind w:leftChars="0"/>
              <w:jc w:val="center"/>
              <w:rPr>
                <w:rFonts w:hint="default" w:ascii="Times New Roman" w:hAnsi="Times New Roman" w:eastAsia="宋体" w:cs="Times New Roman"/>
                <w:b/>
                <w:snapToGrid w:val="0"/>
                <w:color w:val="auto"/>
                <w:spacing w:val="6"/>
                <w:kern w:val="2"/>
                <w:sz w:val="21"/>
                <w:szCs w:val="24"/>
                <w:highlight w:val="none"/>
                <w:lang w:val="en-US" w:eastAsia="zh-CN" w:bidi="ar-SA"/>
              </w:rPr>
            </w:pPr>
            <w:r>
              <w:rPr>
                <w:rFonts w:hint="eastAsia" w:cs="Times New Roman"/>
                <w:b/>
                <w:snapToGrid w:val="0"/>
                <w:color w:val="auto"/>
                <w:spacing w:val="6"/>
                <w:kern w:val="2"/>
                <w:sz w:val="21"/>
                <w:szCs w:val="24"/>
                <w:highlight w:val="none"/>
                <w:lang w:val="en-US" w:eastAsia="zh-CN" w:bidi="ar-SA"/>
              </w:rPr>
              <w:t>表1-1</w:t>
            </w:r>
            <w:r>
              <w:rPr>
                <w:rFonts w:hint="default" w:ascii="Times New Roman" w:hAnsi="Times New Roman" w:eastAsia="宋体" w:cs="Times New Roman"/>
                <w:b/>
                <w:snapToGrid w:val="0"/>
                <w:color w:val="auto"/>
                <w:spacing w:val="6"/>
                <w:kern w:val="2"/>
                <w:sz w:val="21"/>
                <w:szCs w:val="24"/>
                <w:highlight w:val="none"/>
                <w:lang w:val="en-US" w:eastAsia="zh-CN" w:bidi="ar-SA"/>
              </w:rPr>
              <w:t>园区规划符合性分析</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2993"/>
              <w:gridCol w:w="2047"/>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项目</w:t>
                  </w:r>
                </w:p>
              </w:tc>
              <w:tc>
                <w:tcPr>
                  <w:tcW w:w="1997"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《天津大港石化产业园区控制性详细规划》</w:t>
                  </w:r>
                </w:p>
              </w:tc>
              <w:tc>
                <w:tcPr>
                  <w:tcW w:w="1366"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本项目</w:t>
                  </w:r>
                </w:p>
              </w:tc>
              <w:tc>
                <w:tcPr>
                  <w:tcW w:w="756"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规划范围</w:t>
                  </w:r>
                </w:p>
              </w:tc>
              <w:tc>
                <w:tcPr>
                  <w:tcW w:w="1997"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迎宾街以东，南环路以南，长青河以西，南至大港电厂二站</w:t>
                  </w:r>
                </w:p>
              </w:tc>
              <w:tc>
                <w:tcPr>
                  <w:tcW w:w="1366"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本项目位于规范范围内</w:t>
                  </w:r>
                </w:p>
              </w:tc>
              <w:tc>
                <w:tcPr>
                  <w:tcW w:w="756"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规划期限</w:t>
                  </w:r>
                </w:p>
              </w:tc>
              <w:tc>
                <w:tcPr>
                  <w:tcW w:w="1997"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2018-2025年</w:t>
                  </w:r>
                </w:p>
              </w:tc>
              <w:tc>
                <w:tcPr>
                  <w:tcW w:w="1366"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规划期限内</w:t>
                  </w:r>
                </w:p>
              </w:tc>
              <w:tc>
                <w:tcPr>
                  <w:tcW w:w="756"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环境保护目标</w:t>
                  </w:r>
                </w:p>
              </w:tc>
              <w:tc>
                <w:tcPr>
                  <w:tcW w:w="1997"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特征污染物排放达标率100%，环境噪声达标区覆盖率达100%，污水集中处理率达到100%，工业固体废物综合利用率100%，危险废物处置率100%，生活垃圾无害化率达到100%</w:t>
                  </w:r>
                </w:p>
              </w:tc>
              <w:tc>
                <w:tcPr>
                  <w:tcW w:w="1366" w:type="pct"/>
                  <w:vAlign w:val="center"/>
                </w:tcPr>
                <w:p>
                  <w:pPr>
                    <w:pStyle w:val="108"/>
                    <w:spacing w:line="240" w:lineRule="auto"/>
                    <w:ind w:firstLine="0" w:firstLineChars="0"/>
                    <w:jc w:val="center"/>
                    <w:rPr>
                      <w:rFonts w:hint="eastAsia" w:eastAsiaTheme="minorEastAsia"/>
                      <w:color w:val="auto"/>
                      <w:sz w:val="21"/>
                      <w:highlight w:val="none"/>
                      <w:lang w:eastAsia="zh-CN"/>
                    </w:rPr>
                  </w:pPr>
                  <w:r>
                    <w:rPr>
                      <w:rFonts w:eastAsiaTheme="minorEastAsia"/>
                      <w:color w:val="auto"/>
                      <w:sz w:val="21"/>
                      <w:highlight w:val="none"/>
                    </w:rPr>
                    <w:t>本项目各项污染物可达标排放，一般工业固体废物及危险废物均有合理去向</w:t>
                  </w:r>
                  <w:r>
                    <w:rPr>
                      <w:rFonts w:hint="eastAsia" w:eastAsiaTheme="minorEastAsia"/>
                      <w:color w:val="auto"/>
                      <w:sz w:val="21"/>
                      <w:highlight w:val="none"/>
                      <w:lang w:eastAsia="zh-CN"/>
                    </w:rPr>
                    <w:t>。</w:t>
                  </w:r>
                </w:p>
              </w:tc>
              <w:tc>
                <w:tcPr>
                  <w:tcW w:w="756"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产业发展规划</w:t>
                  </w:r>
                </w:p>
              </w:tc>
              <w:tc>
                <w:tcPr>
                  <w:tcW w:w="1997" w:type="pct"/>
                  <w:vAlign w:val="center"/>
                </w:tcPr>
                <w:p>
                  <w:pPr>
                    <w:autoSpaceDE w:val="0"/>
                    <w:autoSpaceDN w:val="0"/>
                    <w:adjustRightInd w:val="0"/>
                    <w:jc w:val="center"/>
                    <w:rPr>
                      <w:rFonts w:ascii="Times New Roman" w:hAnsi="Times New Roman" w:cs="Times New Roman" w:eastAsiaTheme="minorEastAsia"/>
                      <w:color w:val="auto"/>
                      <w:kern w:val="0"/>
                      <w:sz w:val="21"/>
                      <w:szCs w:val="21"/>
                      <w:highlight w:val="none"/>
                      <w:lang w:val="en-US" w:eastAsia="zh-CN" w:bidi="ar-SA"/>
                    </w:rPr>
                  </w:pPr>
                  <w:r>
                    <w:rPr>
                      <w:rFonts w:ascii="Times New Roman" w:hAnsi="Times New Roman" w:cs="Times New Roman" w:eastAsiaTheme="minorEastAsia"/>
                      <w:color w:val="auto"/>
                      <w:kern w:val="0"/>
                      <w:sz w:val="21"/>
                      <w:szCs w:val="21"/>
                      <w:highlight w:val="none"/>
                      <w:lang w:val="en-US" w:eastAsia="zh-CN" w:bidi="ar-SA"/>
                    </w:rPr>
                    <w:t>保留石油化工产业，限制其发展规模，禁止新建相关项目；适当发展精细化工，医药产业；延展发展机械、塑料等制造业，新材料，积极发展生产型服务业，实现先进制造业和现代服务业融合发展</w:t>
                  </w:r>
                  <w:r>
                    <w:rPr>
                      <w:rFonts w:hint="eastAsia" w:cs="Times New Roman" w:eastAsiaTheme="minorEastAsia"/>
                      <w:color w:val="auto"/>
                      <w:kern w:val="0"/>
                      <w:sz w:val="21"/>
                      <w:szCs w:val="21"/>
                      <w:highlight w:val="none"/>
                      <w:lang w:val="en-US" w:eastAsia="zh-CN" w:bidi="ar-SA"/>
                    </w:rPr>
                    <w:t>。</w:t>
                  </w:r>
                </w:p>
              </w:tc>
              <w:tc>
                <w:tcPr>
                  <w:tcW w:w="1366" w:type="pct"/>
                  <w:vAlign w:val="center"/>
                </w:tcPr>
                <w:p>
                  <w:pPr>
                    <w:pStyle w:val="108"/>
                    <w:spacing w:line="240" w:lineRule="auto"/>
                    <w:ind w:firstLine="0" w:firstLineChars="0"/>
                    <w:jc w:val="center"/>
                    <w:rPr>
                      <w:rFonts w:hint="default" w:ascii="Times New Roman" w:hAnsi="Times New Roman" w:cs="Times New Roman" w:eastAsiaTheme="minorEastAsia"/>
                      <w:color w:val="auto"/>
                      <w:kern w:val="0"/>
                      <w:sz w:val="21"/>
                      <w:szCs w:val="21"/>
                      <w:highlight w:val="none"/>
                      <w:lang w:val="en-US" w:eastAsia="zh-CN" w:bidi="ar-SA"/>
                    </w:rPr>
                  </w:pPr>
                  <w:r>
                    <w:rPr>
                      <w:rFonts w:ascii="Times New Roman" w:hAnsi="Times New Roman" w:cs="Times New Roman" w:eastAsiaTheme="minorEastAsia"/>
                      <w:color w:val="auto"/>
                      <w:kern w:val="0"/>
                      <w:sz w:val="21"/>
                      <w:szCs w:val="21"/>
                      <w:highlight w:val="none"/>
                      <w:lang w:val="en-US" w:eastAsia="zh-CN" w:bidi="ar-SA"/>
                    </w:rPr>
                    <w:t>本项目</w:t>
                  </w:r>
                  <w:r>
                    <w:rPr>
                      <w:rFonts w:hint="eastAsia" w:cs="Times New Roman" w:eastAsiaTheme="minorEastAsia"/>
                      <w:color w:val="auto"/>
                      <w:kern w:val="0"/>
                      <w:sz w:val="21"/>
                      <w:szCs w:val="21"/>
                      <w:highlight w:val="none"/>
                      <w:lang w:val="en-US" w:eastAsia="zh-CN" w:bidi="ar-SA"/>
                    </w:rPr>
                    <w:t>行业类别为</w:t>
                  </w:r>
                  <w:r>
                    <w:rPr>
                      <w:rFonts w:hint="eastAsia" w:ascii="Times New Roman" w:hAnsi="Times New Roman" w:cs="Times New Roman" w:eastAsiaTheme="minorEastAsia"/>
                      <w:color w:val="auto"/>
                      <w:kern w:val="0"/>
                      <w:sz w:val="21"/>
                      <w:szCs w:val="21"/>
                      <w:highlight w:val="none"/>
                      <w:lang w:val="en-US" w:eastAsia="zh-CN" w:bidi="ar-SA"/>
                    </w:rPr>
                    <w:t>C3311金属结构制造</w:t>
                  </w:r>
                  <w:r>
                    <w:rPr>
                      <w:rFonts w:hint="eastAsia" w:cs="Times New Roman" w:eastAsiaTheme="minorEastAsia"/>
                      <w:color w:val="auto"/>
                      <w:kern w:val="0"/>
                      <w:sz w:val="21"/>
                      <w:szCs w:val="21"/>
                      <w:highlight w:val="none"/>
                      <w:lang w:val="en-US" w:eastAsia="zh-CN" w:bidi="ar-SA"/>
                    </w:rPr>
                    <w:t>，不属于禁止建设项目。</w:t>
                  </w:r>
                </w:p>
              </w:tc>
              <w:tc>
                <w:tcPr>
                  <w:tcW w:w="756"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符合</w:t>
                  </w:r>
                </w:p>
              </w:tc>
            </w:tr>
          </w:tbl>
          <w:p>
            <w:pPr>
              <w:pStyle w:val="108"/>
              <w:rPr>
                <w:rFonts w:eastAsiaTheme="minorEastAsia"/>
                <w:color w:val="auto"/>
                <w:highlight w:val="none"/>
              </w:rPr>
            </w:pPr>
            <w:r>
              <w:rPr>
                <w:rFonts w:eastAsiaTheme="minorEastAsia"/>
                <w:color w:val="auto"/>
                <w:highlight w:val="none"/>
              </w:rPr>
              <w:t>（2）与规划环评结论及审查意见的符合性</w:t>
            </w:r>
          </w:p>
          <w:p>
            <w:pPr>
              <w:pStyle w:val="108"/>
              <w:rPr>
                <w:rFonts w:eastAsiaTheme="minorEastAsia"/>
                <w:color w:val="auto"/>
                <w:highlight w:val="none"/>
              </w:rPr>
            </w:pPr>
            <w:r>
              <w:rPr>
                <w:rFonts w:eastAsiaTheme="minorEastAsia"/>
                <w:color w:val="auto"/>
                <w:highlight w:val="none"/>
              </w:rPr>
              <w:t>本项目与《天津大港石化产业园区控制性详细规划环境影响报告书》园区准入要求及审查意见符合性分析见下表。</w:t>
            </w:r>
          </w:p>
          <w:p>
            <w:pPr>
              <w:pStyle w:val="109"/>
              <w:numPr>
                <w:ilvl w:val="0"/>
                <w:numId w:val="0"/>
              </w:numPr>
              <w:ind w:leftChars="0"/>
              <w:jc w:val="center"/>
              <w:rPr>
                <w:rFonts w:hint="eastAsia" w:cs="Times New Roman"/>
                <w:b/>
                <w:snapToGrid w:val="0"/>
                <w:color w:val="auto"/>
                <w:spacing w:val="6"/>
                <w:kern w:val="2"/>
                <w:sz w:val="21"/>
                <w:szCs w:val="24"/>
                <w:highlight w:val="none"/>
                <w:lang w:val="en-US" w:eastAsia="zh-CN" w:bidi="ar-SA"/>
              </w:rPr>
            </w:pPr>
            <w:r>
              <w:rPr>
                <w:rFonts w:hint="eastAsia" w:cs="Times New Roman"/>
                <w:b/>
                <w:snapToGrid w:val="0"/>
                <w:color w:val="auto"/>
                <w:spacing w:val="6"/>
                <w:kern w:val="2"/>
                <w:sz w:val="21"/>
                <w:szCs w:val="24"/>
                <w:highlight w:val="none"/>
                <w:lang w:val="en-US" w:eastAsia="zh-CN" w:bidi="ar-SA"/>
              </w:rPr>
              <w:t>表1-2园区规划符合性分析</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2994"/>
              <w:gridCol w:w="2345"/>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文件</w:t>
                  </w:r>
                </w:p>
              </w:tc>
              <w:tc>
                <w:tcPr>
                  <w:tcW w:w="1997"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规划内容</w:t>
                  </w:r>
                </w:p>
              </w:tc>
              <w:tc>
                <w:tcPr>
                  <w:tcW w:w="1564"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本项目</w:t>
                  </w:r>
                </w:p>
              </w:tc>
              <w:tc>
                <w:tcPr>
                  <w:tcW w:w="557"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《天津大港石化产业园区控制性详细规划环境影响报告书》</w:t>
                  </w:r>
                </w:p>
              </w:tc>
              <w:tc>
                <w:tcPr>
                  <w:tcW w:w="1997" w:type="pct"/>
                  <w:vAlign w:val="center"/>
                </w:tcPr>
                <w:p>
                  <w:pPr>
                    <w:autoSpaceDE w:val="0"/>
                    <w:autoSpaceDN w:val="0"/>
                    <w:adjustRightInd w:val="0"/>
                    <w:jc w:val="left"/>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1、禁止新建污染物排放量较大、污染物中含有难处理的有毒有害物质、资源能源消耗高的项目；禁止新建、扩建燃料、农药合成等严重污染水环境的工业项目；禁止新建、扩建排放苯胺等污染因子超标的工业项目；</w:t>
                  </w:r>
                </w:p>
                <w:p>
                  <w:pPr>
                    <w:autoSpaceDE w:val="0"/>
                    <w:autoSpaceDN w:val="0"/>
                    <w:adjustRightInd w:val="0"/>
                    <w:jc w:val="left"/>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2、对于现有污染物排放不达标、污染治理措施落后、具有较大环境风险、不能满足现行及后续新环保要求的企业限制发展规模；</w:t>
                  </w:r>
                </w:p>
                <w:p>
                  <w:pPr>
                    <w:autoSpaceDE w:val="0"/>
                    <w:autoSpaceDN w:val="0"/>
                    <w:adjustRightInd w:val="0"/>
                    <w:jc w:val="left"/>
                    <w:rPr>
                      <w:rFonts w:hint="eastAsia" w:ascii="Times New Roman" w:hAnsi="Times New Roman" w:cs="Times New Roman" w:eastAsiaTheme="minorEastAsia"/>
                      <w:color w:val="auto"/>
                      <w:kern w:val="0"/>
                      <w:sz w:val="21"/>
                      <w:szCs w:val="21"/>
                      <w:highlight w:val="none"/>
                      <w:lang w:val="en-US" w:eastAsia="zh-CN" w:bidi="ar-SA"/>
                    </w:rPr>
                  </w:pPr>
                  <w:r>
                    <w:rPr>
                      <w:rFonts w:hint="eastAsia" w:ascii="Times New Roman" w:hAnsi="Times New Roman" w:cs="Times New Roman" w:eastAsiaTheme="minorEastAsia"/>
                      <w:color w:val="auto"/>
                      <w:kern w:val="0"/>
                      <w:sz w:val="21"/>
                      <w:szCs w:val="21"/>
                      <w:highlight w:val="none"/>
                      <w:lang w:val="en-US" w:eastAsia="zh-CN" w:bidi="ar-SA"/>
                    </w:rPr>
                    <w:t>3、允许发展符合国家政策的项目；入区企业为《产业结构调整指导目录（2019年本）》中鼓励类及允许类。</w:t>
                  </w:r>
                </w:p>
              </w:tc>
              <w:tc>
                <w:tcPr>
                  <w:tcW w:w="1564" w:type="pct"/>
                  <w:vAlign w:val="center"/>
                </w:tcPr>
                <w:p>
                  <w:pPr>
                    <w:pStyle w:val="108"/>
                    <w:spacing w:line="240" w:lineRule="auto"/>
                    <w:ind w:firstLine="0" w:firstLineChars="0"/>
                    <w:rPr>
                      <w:rFonts w:hint="eastAsia" w:eastAsiaTheme="minorEastAsia"/>
                      <w:color w:val="auto"/>
                      <w:sz w:val="21"/>
                      <w:highlight w:val="none"/>
                    </w:rPr>
                  </w:pPr>
                  <w:r>
                    <w:rPr>
                      <w:rFonts w:eastAsiaTheme="minorEastAsia"/>
                      <w:color w:val="auto"/>
                      <w:sz w:val="21"/>
                      <w:highlight w:val="none"/>
                    </w:rPr>
                    <w:t>本项目</w:t>
                  </w:r>
                  <w:r>
                    <w:rPr>
                      <w:rFonts w:hint="eastAsia" w:eastAsiaTheme="minorEastAsia"/>
                      <w:color w:val="auto"/>
                      <w:sz w:val="21"/>
                      <w:highlight w:val="none"/>
                    </w:rPr>
                    <w:t>排放</w:t>
                  </w:r>
                  <w:r>
                    <w:rPr>
                      <w:rFonts w:eastAsiaTheme="minorEastAsia"/>
                      <w:color w:val="auto"/>
                      <w:sz w:val="21"/>
                      <w:highlight w:val="none"/>
                    </w:rPr>
                    <w:t>的主要</w:t>
                  </w:r>
                  <w:r>
                    <w:rPr>
                      <w:rFonts w:hint="eastAsia" w:eastAsiaTheme="minorEastAsia"/>
                      <w:color w:val="auto"/>
                      <w:sz w:val="21"/>
                      <w:highlight w:val="none"/>
                    </w:rPr>
                    <w:t>废气</w:t>
                  </w:r>
                  <w:r>
                    <w:rPr>
                      <w:rFonts w:eastAsiaTheme="minorEastAsia"/>
                      <w:color w:val="auto"/>
                      <w:sz w:val="21"/>
                      <w:highlight w:val="none"/>
                    </w:rPr>
                    <w:t>污染物是</w:t>
                  </w:r>
                  <w:r>
                    <w:rPr>
                      <w:rFonts w:hint="eastAsia" w:eastAsiaTheme="minorEastAsia"/>
                      <w:color w:val="auto"/>
                      <w:sz w:val="21"/>
                      <w:highlight w:val="none"/>
                    </w:rPr>
                    <w:t>颗粒物、TRVOC</w:t>
                  </w:r>
                  <w:r>
                    <w:rPr>
                      <w:rFonts w:hint="eastAsia" w:eastAsiaTheme="minorEastAsia"/>
                      <w:color w:val="auto"/>
                      <w:sz w:val="21"/>
                      <w:highlight w:val="none"/>
                      <w:lang w:eastAsia="zh-CN"/>
                    </w:rPr>
                    <w:t>、</w:t>
                  </w:r>
                  <w:r>
                    <w:rPr>
                      <w:rFonts w:hint="eastAsia" w:eastAsiaTheme="minorEastAsia"/>
                      <w:color w:val="auto"/>
                      <w:sz w:val="21"/>
                      <w:highlight w:val="none"/>
                      <w:lang w:val="en-US" w:eastAsia="zh-CN"/>
                    </w:rPr>
                    <w:t>非甲烷总烃、臭气浓度、二甲苯、乙苯</w:t>
                  </w:r>
                  <w:r>
                    <w:rPr>
                      <w:rFonts w:hint="eastAsia" w:eastAsiaTheme="minorEastAsia"/>
                      <w:color w:val="auto"/>
                      <w:sz w:val="21"/>
                      <w:highlight w:val="none"/>
                    </w:rPr>
                    <w:t>，排放量较小</w:t>
                  </w:r>
                  <w:r>
                    <w:rPr>
                      <w:rFonts w:eastAsiaTheme="minorEastAsia"/>
                      <w:color w:val="auto"/>
                      <w:sz w:val="21"/>
                      <w:highlight w:val="none"/>
                    </w:rPr>
                    <w:t>，</w:t>
                  </w:r>
                  <w:r>
                    <w:rPr>
                      <w:rFonts w:hint="eastAsia" w:eastAsiaTheme="minorEastAsia"/>
                      <w:color w:val="auto"/>
                      <w:sz w:val="21"/>
                      <w:highlight w:val="none"/>
                    </w:rPr>
                    <w:t>污染物</w:t>
                  </w:r>
                  <w:r>
                    <w:rPr>
                      <w:rFonts w:eastAsiaTheme="minorEastAsia"/>
                      <w:color w:val="auto"/>
                      <w:sz w:val="21"/>
                      <w:highlight w:val="none"/>
                    </w:rPr>
                    <w:t>不含有有毒有害物质，资源能耗较低</w:t>
                  </w:r>
                  <w:r>
                    <w:rPr>
                      <w:rFonts w:hint="eastAsia" w:eastAsiaTheme="minorEastAsia"/>
                      <w:color w:val="auto"/>
                      <w:sz w:val="21"/>
                      <w:highlight w:val="none"/>
                    </w:rPr>
                    <w:t>；本项目</w:t>
                  </w:r>
                  <w:r>
                    <w:rPr>
                      <w:rFonts w:hint="eastAsia" w:eastAsiaTheme="minorEastAsia"/>
                      <w:color w:val="auto"/>
                      <w:sz w:val="21"/>
                      <w:highlight w:val="none"/>
                      <w:lang w:val="en-US" w:eastAsia="zh-CN"/>
                    </w:rPr>
                    <w:t>外排废水为生活污水，不属于</w:t>
                  </w:r>
                  <w:r>
                    <w:rPr>
                      <w:rFonts w:hint="eastAsia" w:ascii="Times New Roman" w:hAnsi="Times New Roman" w:cs="Times New Roman" w:eastAsiaTheme="minorEastAsia"/>
                      <w:color w:val="auto"/>
                      <w:kern w:val="0"/>
                      <w:sz w:val="21"/>
                      <w:szCs w:val="21"/>
                      <w:highlight w:val="none"/>
                      <w:lang w:val="en-US" w:eastAsia="zh-CN" w:bidi="ar-SA"/>
                    </w:rPr>
                    <w:t>严重污染水环境的工业项目</w:t>
                  </w:r>
                  <w:r>
                    <w:rPr>
                      <w:rFonts w:hint="eastAsia" w:eastAsiaTheme="minorEastAsia"/>
                      <w:color w:val="auto"/>
                      <w:sz w:val="21"/>
                      <w:highlight w:val="none"/>
                    </w:rPr>
                    <w:t>；</w:t>
                  </w:r>
                </w:p>
                <w:p>
                  <w:pPr>
                    <w:pStyle w:val="108"/>
                    <w:spacing w:line="240" w:lineRule="auto"/>
                    <w:ind w:firstLine="0" w:firstLineChars="0"/>
                    <w:rPr>
                      <w:rFonts w:hint="eastAsia" w:eastAsiaTheme="minorEastAsia"/>
                      <w:color w:val="auto"/>
                      <w:sz w:val="21"/>
                      <w:highlight w:val="none"/>
                      <w:lang w:eastAsia="zh-CN"/>
                    </w:rPr>
                  </w:pPr>
                  <w:r>
                    <w:rPr>
                      <w:rFonts w:eastAsiaTheme="minorEastAsia"/>
                      <w:color w:val="auto"/>
                      <w:sz w:val="21"/>
                      <w:highlight w:val="none"/>
                    </w:rPr>
                    <w:t>本项目行业类别为</w:t>
                  </w:r>
                  <w:r>
                    <w:rPr>
                      <w:rFonts w:hint="eastAsia" w:eastAsiaTheme="minorEastAsia"/>
                      <w:color w:val="auto"/>
                      <w:sz w:val="21"/>
                      <w:highlight w:val="none"/>
                    </w:rPr>
                    <w:t>C3311金属结构制造</w:t>
                  </w:r>
                  <w:r>
                    <w:rPr>
                      <w:rFonts w:hint="eastAsia" w:eastAsiaTheme="minorEastAsia"/>
                      <w:color w:val="auto"/>
                      <w:sz w:val="21"/>
                      <w:highlight w:val="none"/>
                      <w:lang w:eastAsia="zh-CN"/>
                    </w:rPr>
                    <w:t>，</w:t>
                  </w:r>
                  <w:r>
                    <w:rPr>
                      <w:rFonts w:hint="eastAsia" w:eastAsiaTheme="minorEastAsia"/>
                      <w:color w:val="auto"/>
                      <w:sz w:val="21"/>
                      <w:highlight w:val="none"/>
                    </w:rPr>
                    <w:t>不含《产业结构调整指导目录（2019年本）》（国家发展和改革委员会第29号令）中限制类和淘汰类的工艺、设备、产品等，为允许类</w:t>
                  </w:r>
                  <w:r>
                    <w:rPr>
                      <w:rFonts w:hint="eastAsia" w:eastAsiaTheme="minorEastAsia"/>
                      <w:color w:val="auto"/>
                      <w:sz w:val="21"/>
                      <w:highlight w:val="none"/>
                      <w:lang w:eastAsia="zh-CN"/>
                    </w:rPr>
                    <w:t>。</w:t>
                  </w:r>
                </w:p>
              </w:tc>
              <w:tc>
                <w:tcPr>
                  <w:tcW w:w="557"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《天津大港石化产业园区控制性详细规划环境影响报告书》审查意见</w:t>
                  </w:r>
                </w:p>
              </w:tc>
              <w:tc>
                <w:tcPr>
                  <w:tcW w:w="1997" w:type="pct"/>
                  <w:vAlign w:val="center"/>
                </w:tcPr>
                <w:p>
                  <w:pPr>
                    <w:pStyle w:val="108"/>
                    <w:spacing w:line="240" w:lineRule="auto"/>
                    <w:ind w:firstLine="0" w:firstLineChars="0"/>
                    <w:rPr>
                      <w:rFonts w:hint="eastAsia" w:eastAsiaTheme="minorEastAsia"/>
                      <w:color w:val="auto"/>
                      <w:sz w:val="21"/>
                      <w:highlight w:val="none"/>
                    </w:rPr>
                  </w:pPr>
                  <w:r>
                    <w:rPr>
                      <w:rFonts w:hint="eastAsia" w:eastAsiaTheme="minorEastAsia"/>
                      <w:color w:val="auto"/>
                      <w:sz w:val="21"/>
                      <w:highlight w:val="none"/>
                    </w:rPr>
                    <w:t>1、企业层面源头控制，达标排放，合理设置大气环境防护距离；</w:t>
                  </w:r>
                </w:p>
                <w:p>
                  <w:pPr>
                    <w:pStyle w:val="108"/>
                    <w:spacing w:line="240" w:lineRule="auto"/>
                    <w:ind w:firstLine="0" w:firstLineChars="0"/>
                    <w:rPr>
                      <w:rFonts w:hint="eastAsia" w:eastAsiaTheme="minorEastAsia"/>
                      <w:color w:val="auto"/>
                      <w:sz w:val="21"/>
                      <w:highlight w:val="none"/>
                    </w:rPr>
                  </w:pPr>
                  <w:r>
                    <w:rPr>
                      <w:rFonts w:hint="eastAsia" w:eastAsiaTheme="minorEastAsia"/>
                      <w:color w:val="auto"/>
                      <w:sz w:val="21"/>
                      <w:highlight w:val="none"/>
                    </w:rPr>
                    <w:t>2、严禁高浓度废水稀释排放，污水直排偷</w:t>
                  </w:r>
                  <w:r>
                    <w:rPr>
                      <w:rFonts w:hint="eastAsia" w:eastAsiaTheme="minorEastAsia"/>
                      <w:color w:val="auto"/>
                      <w:sz w:val="21"/>
                      <w:highlight w:val="none"/>
                      <w:lang w:eastAsia="zh-CN"/>
                    </w:rPr>
                    <w:t>排</w:t>
                  </w:r>
                  <w:r>
                    <w:rPr>
                      <w:rFonts w:hint="eastAsia" w:eastAsiaTheme="minorEastAsia"/>
                      <w:color w:val="auto"/>
                      <w:sz w:val="21"/>
                      <w:highlight w:val="none"/>
                    </w:rPr>
                    <w:t>等违法行为；</w:t>
                  </w:r>
                </w:p>
                <w:p>
                  <w:pPr>
                    <w:pStyle w:val="108"/>
                    <w:spacing w:line="240" w:lineRule="auto"/>
                    <w:ind w:firstLine="0" w:firstLineChars="0"/>
                    <w:rPr>
                      <w:rFonts w:hint="eastAsia" w:eastAsiaTheme="minorEastAsia"/>
                      <w:color w:val="auto"/>
                      <w:sz w:val="21"/>
                      <w:highlight w:val="none"/>
                    </w:rPr>
                  </w:pPr>
                  <w:r>
                    <w:rPr>
                      <w:rFonts w:hint="eastAsia" w:eastAsiaTheme="minorEastAsia"/>
                      <w:color w:val="auto"/>
                      <w:sz w:val="21"/>
                      <w:highlight w:val="none"/>
                    </w:rPr>
                    <w:t>3、对于拥有噪声设备的企业，必须配备降噪设备和措施，严格控制其噪声水平，并定期检查；</w:t>
                  </w:r>
                </w:p>
                <w:p>
                  <w:pPr>
                    <w:pStyle w:val="108"/>
                    <w:spacing w:line="240" w:lineRule="auto"/>
                    <w:ind w:firstLine="0" w:firstLineChars="0"/>
                    <w:rPr>
                      <w:rFonts w:hint="eastAsia" w:eastAsiaTheme="minorEastAsia"/>
                      <w:color w:val="auto"/>
                      <w:sz w:val="21"/>
                      <w:highlight w:val="none"/>
                    </w:rPr>
                  </w:pPr>
                  <w:r>
                    <w:rPr>
                      <w:rFonts w:hint="eastAsia" w:eastAsiaTheme="minorEastAsia"/>
                      <w:color w:val="auto"/>
                      <w:sz w:val="21"/>
                      <w:highlight w:val="none"/>
                    </w:rPr>
                    <w:t>4、加强项目建设用地管理，促进节约集约用地，严格管控红黄线建设活动。</w:t>
                  </w:r>
                </w:p>
              </w:tc>
              <w:tc>
                <w:tcPr>
                  <w:tcW w:w="1564" w:type="pct"/>
                  <w:vAlign w:val="center"/>
                </w:tcPr>
                <w:p>
                  <w:pPr>
                    <w:pStyle w:val="108"/>
                    <w:spacing w:line="240" w:lineRule="auto"/>
                    <w:ind w:firstLine="0" w:firstLineChars="0"/>
                    <w:rPr>
                      <w:rFonts w:eastAsiaTheme="minorEastAsia"/>
                      <w:color w:val="auto"/>
                      <w:sz w:val="21"/>
                      <w:highlight w:val="none"/>
                    </w:rPr>
                  </w:pPr>
                  <w:r>
                    <w:rPr>
                      <w:rFonts w:eastAsiaTheme="minorEastAsia"/>
                      <w:color w:val="auto"/>
                      <w:sz w:val="21"/>
                      <w:highlight w:val="none"/>
                    </w:rPr>
                    <w:t>本项目各类污染物达标排放</w:t>
                  </w:r>
                  <w:r>
                    <w:rPr>
                      <w:rFonts w:hint="eastAsia" w:eastAsiaTheme="minorEastAsia"/>
                      <w:color w:val="auto"/>
                      <w:sz w:val="21"/>
                      <w:highlight w:val="none"/>
                    </w:rPr>
                    <w:t>；本项目</w:t>
                  </w:r>
                  <w:r>
                    <w:rPr>
                      <w:rFonts w:hint="eastAsia" w:eastAsiaTheme="minorEastAsia"/>
                      <w:color w:val="auto"/>
                      <w:sz w:val="21"/>
                      <w:highlight w:val="none"/>
                      <w:lang w:val="en-US" w:eastAsia="zh-CN"/>
                    </w:rPr>
                    <w:t>外排废水为生活污水，不属于高浓度废水稀释排放，生活污水排放方式为间接排放</w:t>
                  </w:r>
                  <w:r>
                    <w:rPr>
                      <w:rFonts w:eastAsiaTheme="minorEastAsia"/>
                      <w:color w:val="auto"/>
                      <w:sz w:val="21"/>
                      <w:highlight w:val="none"/>
                    </w:rPr>
                    <w:t>；</w:t>
                  </w:r>
                  <w:r>
                    <w:rPr>
                      <w:rFonts w:hint="eastAsia" w:eastAsiaTheme="minorEastAsia"/>
                      <w:color w:val="auto"/>
                      <w:sz w:val="21"/>
                      <w:highlight w:val="none"/>
                    </w:rPr>
                    <w:t>本项目</w:t>
                  </w:r>
                  <w:r>
                    <w:rPr>
                      <w:rFonts w:eastAsiaTheme="minorEastAsia"/>
                      <w:color w:val="auto"/>
                      <w:sz w:val="21"/>
                      <w:highlight w:val="none"/>
                    </w:rPr>
                    <w:t>采用低噪声设备并采取减振措施；本项目在现有厂房内建设，不占用生态红、黄线，满足园区规划要求</w:t>
                  </w:r>
                </w:p>
              </w:tc>
              <w:tc>
                <w:tcPr>
                  <w:tcW w:w="557" w:type="pct"/>
                  <w:vAlign w:val="center"/>
                </w:tcPr>
                <w:p>
                  <w:pPr>
                    <w:pStyle w:val="108"/>
                    <w:spacing w:line="240" w:lineRule="auto"/>
                    <w:ind w:firstLine="0" w:firstLineChars="0"/>
                    <w:jc w:val="center"/>
                    <w:rPr>
                      <w:rFonts w:eastAsiaTheme="minorEastAsia"/>
                      <w:color w:val="auto"/>
                      <w:sz w:val="21"/>
                      <w:highlight w:val="none"/>
                    </w:rPr>
                  </w:pPr>
                  <w:r>
                    <w:rPr>
                      <w:rFonts w:eastAsiaTheme="minorEastAsia"/>
                      <w:color w:val="auto"/>
                      <w:sz w:val="21"/>
                      <w:highlight w:val="none"/>
                    </w:rPr>
                    <w:t>符合</w:t>
                  </w:r>
                </w:p>
              </w:tc>
            </w:tr>
          </w:tbl>
          <w:p>
            <w:pPr>
              <w:spacing w:line="360" w:lineRule="auto"/>
              <w:ind w:firstLine="480" w:firstLineChars="200"/>
              <w:contextualSpacing/>
              <w:rPr>
                <w:rFonts w:hint="default" w:ascii="Times New Roman" w:hAnsi="Times New Roman" w:cs="Times New Roman"/>
                <w:color w:val="auto"/>
                <w:szCs w:val="24"/>
                <w:highlight w:val="none"/>
              </w:rPr>
            </w:pPr>
            <w:r>
              <w:rPr>
                <w:rFonts w:eastAsiaTheme="minorEastAsia"/>
                <w:color w:val="auto"/>
                <w:highlight w:val="none"/>
              </w:rPr>
              <w:t>经对照分析，本项目符合园区规划，规划环评及审查意见中的相关要求。</w:t>
            </w:r>
          </w:p>
          <w:p>
            <w:pPr>
              <w:spacing w:line="360" w:lineRule="auto"/>
              <w:ind w:firstLine="480" w:firstLineChars="200"/>
              <w:contextualSpacing/>
              <w:rPr>
                <w:rFonts w:hint="default" w:ascii="Times New Roman" w:hAnsi="Times New Roman" w:cs="Times New Roman"/>
                <w:color w:val="auto"/>
                <w:szCs w:val="24"/>
                <w:highlight w:val="none"/>
              </w:rPr>
            </w:pPr>
          </w:p>
          <w:p>
            <w:pPr>
              <w:spacing w:line="360" w:lineRule="auto"/>
              <w:ind w:firstLine="480" w:firstLineChars="200"/>
              <w:contextualSpacing/>
              <w:rPr>
                <w:rFonts w:hint="default" w:ascii="Times New Roman" w:hAnsi="Times New Roman" w:cs="Times New Roman"/>
                <w:color w:val="auto"/>
                <w:szCs w:val="24"/>
                <w:highlight w:val="none"/>
              </w:rPr>
            </w:pPr>
          </w:p>
          <w:p>
            <w:pPr>
              <w:spacing w:line="360" w:lineRule="auto"/>
              <w:ind w:firstLine="480" w:firstLineChars="200"/>
              <w:contextualSpacing/>
              <w:rPr>
                <w:rFonts w:hint="default" w:ascii="Times New Roman" w:hAnsi="Times New Roman" w:cs="Times New Roman"/>
                <w:color w:val="auto"/>
                <w:szCs w:val="24"/>
                <w:highlight w:val="none"/>
              </w:rPr>
            </w:pPr>
          </w:p>
          <w:p>
            <w:pPr>
              <w:pStyle w:val="39"/>
              <w:rPr>
                <w:rFonts w:hint="default" w:ascii="Times New Roman" w:hAnsi="Times New Roman" w:cs="Times New Roman"/>
                <w:color w:val="auto"/>
                <w:szCs w:val="24"/>
                <w:highlight w:val="none"/>
              </w:rPr>
            </w:pPr>
          </w:p>
          <w:p>
            <w:pPr>
              <w:pStyle w:val="39"/>
              <w:rPr>
                <w:rFonts w:hint="default" w:ascii="Times New Roman" w:hAnsi="Times New Roman" w:cs="Times New Roman"/>
                <w:color w:val="auto"/>
                <w:szCs w:val="24"/>
                <w:highlight w:val="none"/>
              </w:rPr>
            </w:pPr>
          </w:p>
          <w:p>
            <w:pPr>
              <w:pStyle w:val="39"/>
              <w:rPr>
                <w:rFonts w:hint="default" w:ascii="Times New Roman" w:hAnsi="Times New Roman" w:cs="Times New Roman"/>
                <w:color w:val="auto"/>
                <w:szCs w:val="24"/>
                <w:highlight w:val="none"/>
              </w:rPr>
            </w:pPr>
          </w:p>
          <w:p>
            <w:pPr>
              <w:pStyle w:val="39"/>
              <w:rPr>
                <w:rFonts w:hint="default" w:ascii="Times New Roman" w:hAnsi="Times New Roman" w:cs="Times New Roman"/>
                <w:color w:val="auto"/>
                <w:szCs w:val="24"/>
                <w:highlight w:val="none"/>
              </w:rPr>
            </w:pPr>
          </w:p>
          <w:p>
            <w:pPr>
              <w:pStyle w:val="39"/>
              <w:rPr>
                <w:rFonts w:hint="default" w:ascii="Times New Roman" w:hAnsi="Times New Roman" w:cs="Times New Roman"/>
                <w:color w:val="auto"/>
                <w:szCs w:val="24"/>
                <w:highlight w:val="none"/>
              </w:rPr>
            </w:pPr>
          </w:p>
          <w:p>
            <w:pPr>
              <w:pStyle w:val="39"/>
              <w:rPr>
                <w:rFonts w:hint="default" w:ascii="Times New Roman" w:hAnsi="Times New Roman" w:cs="Times New Roman"/>
                <w:color w:val="auto"/>
                <w:szCs w:val="24"/>
                <w:highlight w:val="none"/>
              </w:rPr>
            </w:pPr>
          </w:p>
          <w:p>
            <w:pPr>
              <w:pStyle w:val="39"/>
              <w:rPr>
                <w:rFonts w:hint="default" w:ascii="Times New Roman" w:hAnsi="Times New Roman" w:cs="Times New Roman"/>
                <w:color w:val="auto"/>
                <w:szCs w:val="24"/>
                <w:highlight w:val="none"/>
              </w:rPr>
            </w:pPr>
          </w:p>
          <w:p>
            <w:pPr>
              <w:pStyle w:val="39"/>
              <w:rPr>
                <w:rFonts w:hint="default" w:ascii="Times New Roman" w:hAnsi="Times New Roman" w:cs="Times New Roman"/>
                <w:color w:val="auto"/>
                <w:szCs w:val="24"/>
                <w:highlight w:val="none"/>
              </w:rPr>
            </w:pPr>
          </w:p>
          <w:p>
            <w:pPr>
              <w:spacing w:line="360" w:lineRule="auto"/>
              <w:contextualSpacing/>
              <w:rPr>
                <w:rFonts w:hint="default" w:ascii="Times New Roman" w:hAnsi="Times New Roman" w:cs="Times New Roman"/>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35" w:hRule="atLeast"/>
          <w:jc w:val="center"/>
        </w:trPr>
        <w:tc>
          <w:tcPr>
            <w:tcW w:w="1150" w:type="dxa"/>
            <w:vAlign w:val="center"/>
          </w:tcPr>
          <w:p>
            <w:pPr>
              <w:autoSpaceDE w:val="0"/>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其他符合性分析</w:t>
            </w:r>
          </w:p>
        </w:tc>
        <w:tc>
          <w:tcPr>
            <w:tcW w:w="7720" w:type="dxa"/>
            <w:gridSpan w:val="3"/>
            <w:vAlign w:val="center"/>
          </w:tcPr>
          <w:p>
            <w:pPr>
              <w:autoSpaceDE w:val="0"/>
              <w:autoSpaceDN w:val="0"/>
              <w:adjustRightInd w:val="0"/>
              <w:snapToGrid w:val="0"/>
              <w:spacing w:before="120" w:beforeLines="50" w:line="360" w:lineRule="auto"/>
              <w:rPr>
                <w:b/>
                <w:bCs/>
                <w:color w:val="auto"/>
                <w:highlight w:val="none"/>
              </w:rPr>
            </w:pPr>
            <w:r>
              <w:rPr>
                <w:rFonts w:hint="eastAsia"/>
                <w:b/>
                <w:bCs/>
                <w:color w:val="auto"/>
                <w:highlight w:val="none"/>
                <w:lang w:val="en-US" w:eastAsia="zh-CN"/>
              </w:rPr>
              <w:t>一、</w:t>
            </w:r>
            <w:r>
              <w:rPr>
                <w:b/>
                <w:bCs/>
                <w:color w:val="auto"/>
                <w:highlight w:val="none"/>
              </w:rPr>
              <w:t>产业政策符合性</w:t>
            </w:r>
          </w:p>
          <w:p>
            <w:pPr>
              <w:autoSpaceDE w:val="0"/>
              <w:autoSpaceDN w:val="0"/>
              <w:adjustRightInd w:val="0"/>
              <w:snapToGrid w:val="0"/>
              <w:spacing w:line="360" w:lineRule="auto"/>
              <w:ind w:firstLine="480" w:firstLineChars="200"/>
              <w:rPr>
                <w:color w:val="auto"/>
                <w:highlight w:val="none"/>
              </w:rPr>
            </w:pPr>
            <w:r>
              <w:rPr>
                <w:color w:val="auto"/>
                <w:highlight w:val="none"/>
              </w:rPr>
              <w:t>根据《产业结构调整指导目录（2019年本）》</w:t>
            </w:r>
            <w:r>
              <w:rPr>
                <w:rFonts w:hint="eastAsia"/>
                <w:color w:val="auto"/>
                <w:highlight w:val="none"/>
                <w:lang w:eastAsia="zh-CN"/>
              </w:rPr>
              <w:t>（中华人民共和国国家发展和改革委员会令第29号）</w:t>
            </w:r>
            <w:r>
              <w:rPr>
                <w:color w:val="auto"/>
                <w:highlight w:val="none"/>
              </w:rPr>
              <w:t>（2021年修订），本项目不属于限制类、淘汰类，为允许类建设项目。同时经对比《市场准入负面清单（2022年版）》</w:t>
            </w:r>
            <w:r>
              <w:rPr>
                <w:rFonts w:hint="eastAsia"/>
                <w:color w:val="auto"/>
                <w:highlight w:val="none"/>
                <w:lang w:eastAsia="zh-CN"/>
              </w:rPr>
              <w:t>（发改体改规〔2022〕397号）</w:t>
            </w:r>
            <w:r>
              <w:rPr>
                <w:color w:val="auto"/>
                <w:highlight w:val="none"/>
              </w:rPr>
              <w:t>，本项目不属于禁止准入类，符合《市场准入负面清单（2022年版）》</w:t>
            </w:r>
            <w:r>
              <w:rPr>
                <w:rFonts w:hint="eastAsia"/>
                <w:color w:val="auto"/>
                <w:highlight w:val="none"/>
                <w:lang w:eastAsia="zh-CN"/>
              </w:rPr>
              <w:t>（发改体改规〔2022〕397号）</w:t>
            </w:r>
            <w:r>
              <w:rPr>
                <w:color w:val="auto"/>
                <w:highlight w:val="none"/>
              </w:rPr>
              <w:t>相关要求。</w:t>
            </w:r>
          </w:p>
          <w:p>
            <w:pPr>
              <w:autoSpaceDE w:val="0"/>
              <w:autoSpaceDN w:val="0"/>
              <w:adjustRightInd w:val="0"/>
              <w:snapToGrid w:val="0"/>
              <w:spacing w:line="360" w:lineRule="auto"/>
              <w:ind w:firstLine="480" w:firstLineChars="200"/>
              <w:rPr>
                <w:rFonts w:hint="default" w:ascii="Times New Roman" w:hAnsi="Times New Roman" w:cs="Times New Roman"/>
                <w:b/>
                <w:bCs/>
                <w:color w:val="auto"/>
                <w:highlight w:val="none"/>
              </w:rPr>
            </w:pPr>
            <w:r>
              <w:rPr>
                <w:color w:val="auto"/>
                <w:highlight w:val="none"/>
              </w:rPr>
              <w:t>建设单位已于2023年</w:t>
            </w:r>
            <w:r>
              <w:rPr>
                <w:rFonts w:hint="eastAsia"/>
                <w:color w:val="auto"/>
                <w:highlight w:val="none"/>
                <w:lang w:val="en-US" w:eastAsia="zh-CN"/>
              </w:rPr>
              <w:t>11</w:t>
            </w:r>
            <w:r>
              <w:rPr>
                <w:color w:val="auto"/>
                <w:highlight w:val="none"/>
              </w:rPr>
              <w:t>月</w:t>
            </w:r>
            <w:r>
              <w:rPr>
                <w:rFonts w:hint="eastAsia"/>
                <w:color w:val="auto"/>
                <w:highlight w:val="none"/>
                <w:lang w:val="en-US" w:eastAsia="zh-CN"/>
              </w:rPr>
              <w:t>24</w:t>
            </w:r>
            <w:r>
              <w:rPr>
                <w:color w:val="auto"/>
                <w:highlight w:val="none"/>
              </w:rPr>
              <w:t>日取得天津市</w:t>
            </w:r>
            <w:r>
              <w:rPr>
                <w:rFonts w:hint="eastAsia"/>
                <w:color w:val="auto"/>
                <w:highlight w:val="none"/>
                <w:lang w:val="en-US" w:eastAsia="zh-CN"/>
              </w:rPr>
              <w:t>滨海新</w:t>
            </w:r>
            <w:r>
              <w:rPr>
                <w:color w:val="auto"/>
                <w:highlight w:val="none"/>
              </w:rPr>
              <w:t>区行政审批局关于</w:t>
            </w:r>
            <w:r>
              <w:rPr>
                <w:rFonts w:hint="eastAsia"/>
                <w:color w:val="auto"/>
                <w:highlight w:val="none"/>
                <w:lang w:eastAsia="zh-CN"/>
              </w:rPr>
              <w:t>天津联发建筑安装工程有限公司新建项目</w:t>
            </w:r>
            <w:r>
              <w:rPr>
                <w:color w:val="auto"/>
                <w:highlight w:val="none"/>
              </w:rPr>
              <w:t>备案的证明（项目代码为：</w:t>
            </w:r>
            <w:r>
              <w:rPr>
                <w:rFonts w:hint="eastAsia"/>
                <w:color w:val="auto"/>
                <w:highlight w:val="none"/>
              </w:rPr>
              <w:t>2311-120116-89-05-293508</w:t>
            </w:r>
            <w:r>
              <w:rPr>
                <w:color w:val="auto"/>
                <w:highlight w:val="none"/>
              </w:rPr>
              <w:t>）。因此本项目的建设符合</w:t>
            </w:r>
            <w:r>
              <w:rPr>
                <w:rFonts w:hint="eastAsia"/>
                <w:color w:val="auto"/>
                <w:highlight w:val="none"/>
              </w:rPr>
              <w:t>当前</w:t>
            </w:r>
            <w:r>
              <w:rPr>
                <w:color w:val="auto"/>
                <w:highlight w:val="none"/>
              </w:rPr>
              <w:t>国家及地方相关产业政策要求。</w:t>
            </w:r>
          </w:p>
          <w:p>
            <w:pPr>
              <w:spacing w:line="360" w:lineRule="auto"/>
              <w:contextualSpacing/>
              <w:rPr>
                <w:rFonts w:hint="default" w:ascii="Times New Roman" w:hAnsi="Times New Roman" w:cs="Times New Roman"/>
                <w:snapToGrid/>
                <w:color w:val="auto"/>
                <w:spacing w:val="0"/>
                <w:sz w:val="24"/>
                <w:highlight w:val="none"/>
              </w:rPr>
            </w:pPr>
            <w:r>
              <w:rPr>
                <w:rFonts w:hint="eastAsia" w:cs="Times New Roman"/>
                <w:b/>
                <w:bCs/>
                <w:color w:val="auto"/>
                <w:highlight w:val="none"/>
                <w:lang w:val="en-US" w:eastAsia="zh-CN"/>
              </w:rPr>
              <w:t>二</w:t>
            </w:r>
            <w:r>
              <w:rPr>
                <w:rFonts w:hint="default" w:ascii="Times New Roman" w:hAnsi="Times New Roman" w:cs="Times New Roman"/>
                <w:b/>
                <w:bCs/>
                <w:color w:val="auto"/>
                <w:highlight w:val="none"/>
              </w:rPr>
              <w:t>、与天津市相关区域符合性分析</w:t>
            </w:r>
          </w:p>
          <w:p>
            <w:pPr>
              <w:pStyle w:val="28"/>
              <w:ind w:left="0" w:leftChars="0" w:firstLine="480" w:firstLineChars="200"/>
              <w:rPr>
                <w:rFonts w:hint="default" w:ascii="Times New Roman" w:hAnsi="Times New Roman" w:cs="Times New Roman"/>
                <w:snapToGrid/>
                <w:color w:val="auto"/>
                <w:spacing w:val="0"/>
                <w:sz w:val="24"/>
                <w:highlight w:val="none"/>
              </w:rPr>
            </w:pPr>
            <w:r>
              <w:rPr>
                <w:rFonts w:hint="default" w:ascii="Times New Roman" w:hAnsi="Times New Roman" w:cs="Times New Roman"/>
                <w:snapToGrid/>
                <w:color w:val="auto"/>
                <w:spacing w:val="0"/>
                <w:sz w:val="24"/>
                <w:highlight w:val="none"/>
              </w:rPr>
              <w:t>（1）天津市生态保护红线</w:t>
            </w:r>
          </w:p>
          <w:p>
            <w:pPr>
              <w:pStyle w:val="105"/>
              <w:rPr>
                <w:rFonts w:hint="default" w:ascii="Times New Roman" w:hAnsi="Times New Roman" w:cs="Times New Roman"/>
                <w:color w:val="auto"/>
                <w:highlight w:val="none"/>
              </w:rPr>
            </w:pPr>
            <w:r>
              <w:rPr>
                <w:rFonts w:hint="default" w:ascii="Times New Roman" w:hAnsi="Times New Roman" w:cs="Times New Roman"/>
                <w:color w:val="auto"/>
                <w:highlight w:val="none"/>
              </w:rPr>
              <w:t>根据《天津市人民政府关于发布天津市生态保护红线的通知》（津政发</w:t>
            </w:r>
            <w:r>
              <w:rPr>
                <w:rFonts w:hint="eastAsia" w:cs="Times New Roman"/>
                <w:color w:val="auto"/>
                <w:highlight w:val="none"/>
                <w:lang w:eastAsia="zh-CN"/>
              </w:rPr>
              <w:t>〔</w:t>
            </w:r>
            <w:r>
              <w:rPr>
                <w:rFonts w:hint="default" w:ascii="Times New Roman" w:hAnsi="Times New Roman" w:cs="Times New Roman"/>
                <w:color w:val="auto"/>
                <w:highlight w:val="none"/>
              </w:rPr>
              <w:t>2018</w:t>
            </w:r>
            <w:r>
              <w:rPr>
                <w:rFonts w:hint="eastAsia" w:cs="Times New Roman"/>
                <w:color w:val="auto"/>
                <w:highlight w:val="none"/>
                <w:lang w:eastAsia="zh-CN"/>
              </w:rPr>
              <w:t>〕</w:t>
            </w:r>
            <w:r>
              <w:rPr>
                <w:rFonts w:hint="default" w:ascii="Times New Roman" w:hAnsi="Times New Roman" w:cs="Times New Roman"/>
                <w:color w:val="auto"/>
                <w:highlight w:val="none"/>
              </w:rPr>
              <w:t>21号），天津市划定陆域生态保护红线面积1195平方公里；海洋生态红线区面积219.79平方公里；自然岸线合计18.63公里。本项目位于</w:t>
            </w:r>
            <w:r>
              <w:rPr>
                <w:rFonts w:hint="eastAsia" w:cs="Times New Roman"/>
                <w:color w:val="auto"/>
                <w:highlight w:val="none"/>
                <w:lang w:eastAsia="zh-CN"/>
              </w:rPr>
              <w:t>天津市滨海新区大港海洋石化科技园区迎宾街623#</w:t>
            </w:r>
            <w:r>
              <w:rPr>
                <w:rFonts w:hint="default" w:ascii="Times New Roman" w:hAnsi="Times New Roman" w:cs="Times New Roman"/>
                <w:color w:val="auto"/>
                <w:highlight w:val="none"/>
              </w:rPr>
              <w:t>，本项目距离</w:t>
            </w:r>
            <w:r>
              <w:rPr>
                <w:rFonts w:hint="eastAsia" w:cs="Times New Roman"/>
                <w:color w:val="auto"/>
                <w:highlight w:val="none"/>
                <w:lang w:val="en-US" w:eastAsia="zh-CN"/>
              </w:rPr>
              <w:t>西南侧</w:t>
            </w:r>
            <w:r>
              <w:rPr>
                <w:rFonts w:hint="default" w:ascii="Times New Roman" w:hAnsi="Times New Roman" w:cs="Times New Roman"/>
                <w:color w:val="auto"/>
                <w:highlight w:val="none"/>
              </w:rPr>
              <w:t>生态保护红线北大港湿地自然保护区</w:t>
            </w:r>
            <w:r>
              <w:rPr>
                <w:rFonts w:hint="eastAsia" w:cs="Times New Roman"/>
                <w:color w:val="auto"/>
                <w:highlight w:val="none"/>
                <w:lang w:val="en-US" w:eastAsia="zh-CN"/>
              </w:rPr>
              <w:t>2.2</w:t>
            </w:r>
            <w:r>
              <w:rPr>
                <w:rFonts w:hint="default" w:ascii="Times New Roman" w:hAnsi="Times New Roman" w:cs="Times New Roman"/>
                <w:color w:val="auto"/>
                <w:highlight w:val="none"/>
              </w:rPr>
              <w:t>km，本项目距离</w:t>
            </w:r>
            <w:r>
              <w:rPr>
                <w:rFonts w:hint="eastAsia" w:cs="Times New Roman"/>
                <w:color w:val="auto"/>
                <w:highlight w:val="none"/>
                <w:lang w:val="en-US" w:eastAsia="zh-CN"/>
              </w:rPr>
              <w:t>东南侧</w:t>
            </w:r>
            <w:r>
              <w:rPr>
                <w:rFonts w:hint="default" w:ascii="Times New Roman" w:hAnsi="Times New Roman" w:cs="Times New Roman"/>
                <w:color w:val="auto"/>
                <w:highlight w:val="none"/>
              </w:rPr>
              <w:t>生态保护红线</w:t>
            </w:r>
            <w:r>
              <w:rPr>
                <w:rFonts w:hint="eastAsia" w:cs="Times New Roman"/>
                <w:color w:val="auto"/>
                <w:highlight w:val="none"/>
                <w:lang w:val="en-US" w:eastAsia="zh-CN"/>
              </w:rPr>
              <w:t>古海岸湿地2.2</w:t>
            </w:r>
            <w:r>
              <w:rPr>
                <w:rFonts w:hint="default" w:ascii="Times New Roman" w:hAnsi="Times New Roman" w:cs="Times New Roman"/>
                <w:color w:val="auto"/>
                <w:highlight w:val="none"/>
              </w:rPr>
              <w:t>km，本项目不涉及占用天津市生态保护红线。</w:t>
            </w:r>
          </w:p>
          <w:p>
            <w:pPr>
              <w:pStyle w:val="105"/>
              <w:rPr>
                <w:rFonts w:hint="default" w:ascii="Times New Roman" w:hAnsi="Times New Roman" w:cs="Times New Roman"/>
                <w:color w:val="auto"/>
                <w:highlight w:val="none"/>
              </w:rPr>
            </w:pPr>
            <w:r>
              <w:rPr>
                <w:rFonts w:hint="default" w:ascii="Times New Roman" w:hAnsi="Times New Roman" w:cs="Times New Roman"/>
                <w:color w:val="auto"/>
                <w:highlight w:val="none"/>
              </w:rPr>
              <w:t>根据2023年7月27日天津市第十八届人民代表大会常务委员会第四次会议通过的《天津市人民代表大会常务委员会关于加强生态保护红线管理的决定》（天津市人民代表大会常务委员会公告 第五号），本市未纳入生态保护红线的山地、河流、水库和湖泊、湿地和盐田、郊野公园和城市公园、林带等区域，由规划资源、生态环境、水务、城市管理、农业农村等部门按照各自职责，根据有关法律、法规、规章实施严格保护和管理。</w:t>
            </w:r>
          </w:p>
          <w:p>
            <w:pPr>
              <w:spacing w:line="360" w:lineRule="auto"/>
              <w:ind w:firstLine="480" w:firstLineChars="200"/>
              <w:contextualSpacing/>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（2）“三线一单”符合性分析</w:t>
            </w:r>
          </w:p>
          <w:p>
            <w:pPr>
              <w:spacing w:line="360" w:lineRule="auto"/>
              <w:ind w:firstLine="480" w:firstLineChars="200"/>
              <w:rPr>
                <w:rFonts w:hint="default"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①与“天津市三线一单”符合性分析</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根据《天津市人民政府关于实施“三线一单”生态环境分区管控的意见》（津政规[2020]9号），本项目属于“重点管控单元-工业园区”，“重点管控单元-工业园区”的管控要求为“重点管控单元（区）以产业高质量发展和环境污染治理为主，加强污染物排放控制和环境风险防控，进一步提升资源利用效率”、“优化工业园区空间布局，强化污染治理，促进产业转型升级改造”。</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本项目位于</w:t>
            </w:r>
            <w:r>
              <w:rPr>
                <w:rFonts w:hint="eastAsia" w:cs="Times New Roman"/>
                <w:color w:val="auto"/>
                <w:sz w:val="24"/>
                <w:szCs w:val="24"/>
                <w:highlight w:val="none"/>
                <w:lang w:val="en-US" w:eastAsia="zh-CN" w:bidi="ar-SA"/>
              </w:rPr>
              <w:t>天津市滨海新区大港海洋石化科技园区迎宾街623#</w:t>
            </w:r>
            <w:r>
              <w:rPr>
                <w:rFonts w:hint="default"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行业类别</w:t>
            </w:r>
            <w:r>
              <w:rPr>
                <w:rFonts w:hint="default" w:ascii="Times New Roman" w:hAnsi="Times New Roman" w:eastAsia="宋体" w:cs="Times New Roman"/>
                <w:color w:val="auto"/>
                <w:sz w:val="24"/>
                <w:szCs w:val="24"/>
                <w:highlight w:val="none"/>
                <w:lang w:val="en-US" w:eastAsia="zh-CN" w:bidi="ar-SA"/>
              </w:rPr>
              <w:t>属于C3311金属结构制造，本项目采用可行的污染防治技术，运营期间产生的废气、废水、噪声均能实现达标排放，固体废物能够得到妥善处置，上述环境因子均不会对周边环境产生较大影响，同时本评价针对项目存在的环境风险进行了简要分析，提出在落实一系列风险防范措施及应急措施，本项目环境风险可防控，符合“重点管控单元-工业园区”的管控要求。</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bidi="ar-SA"/>
              </w:rPr>
            </w:pPr>
            <w:r>
              <w:rPr>
                <w:rFonts w:hint="eastAsia" w:cs="Times New Roman"/>
                <w:color w:val="auto"/>
                <w:sz w:val="24"/>
                <w:szCs w:val="24"/>
                <w:highlight w:val="none"/>
                <w:lang w:val="en-US" w:eastAsia="zh-CN" w:bidi="ar-SA"/>
              </w:rPr>
              <w:t>②与“滨海新区三线一单”符合性分析</w:t>
            </w:r>
          </w:p>
          <w:p>
            <w:pPr>
              <w:spacing w:line="360" w:lineRule="auto"/>
              <w:ind w:firstLine="480" w:firstLineChars="200"/>
              <w:contextualSpacing/>
              <w:rPr>
                <w:rFonts w:hint="default" w:ascii="Times New Roman" w:hAnsi="Times New Roman" w:cs="Times New Roman"/>
                <w:color w:val="auto"/>
                <w:szCs w:val="24"/>
                <w:highlight w:val="none"/>
              </w:rPr>
            </w:pPr>
            <w:r>
              <w:rPr>
                <w:rFonts w:eastAsiaTheme="minorEastAsia"/>
                <w:color w:val="auto"/>
                <w:highlight w:val="none"/>
              </w:rPr>
              <w:t>根据《滨海新区生态环境准入清单（2021版）》（津滨环发</w:t>
            </w:r>
            <w:r>
              <w:rPr>
                <w:rFonts w:hint="eastAsia" w:eastAsiaTheme="minorEastAsia"/>
                <w:color w:val="auto"/>
                <w:highlight w:val="none"/>
                <w:lang w:eastAsia="zh-CN"/>
              </w:rPr>
              <w:t>〔</w:t>
            </w:r>
            <w:r>
              <w:rPr>
                <w:rFonts w:eastAsiaTheme="minorEastAsia"/>
                <w:color w:val="auto"/>
                <w:highlight w:val="none"/>
              </w:rPr>
              <w:t>2021</w:t>
            </w:r>
            <w:r>
              <w:rPr>
                <w:rFonts w:hint="eastAsia" w:eastAsiaTheme="minorEastAsia"/>
                <w:color w:val="auto"/>
                <w:highlight w:val="none"/>
                <w:lang w:eastAsia="zh-CN"/>
              </w:rPr>
              <w:t>〕</w:t>
            </w:r>
            <w:r>
              <w:rPr>
                <w:rFonts w:eastAsiaTheme="minorEastAsia"/>
                <w:color w:val="auto"/>
                <w:highlight w:val="none"/>
              </w:rPr>
              <w:t>31号）内容，本项目位于大港石化产业园区，所在区域属于重点管控单元，对照《滨海新区生态环境准入清单（2021年版）》（天津市滨海新区生态环境局，2021年10月），本项目与总体管控要求的符合性分析如下</w:t>
            </w:r>
            <w:r>
              <w:rPr>
                <w:rFonts w:hint="default" w:ascii="Times New Roman" w:hAnsi="Times New Roman" w:cs="Times New Roman"/>
                <w:color w:val="auto"/>
                <w:szCs w:val="24"/>
                <w:highlight w:val="none"/>
              </w:rPr>
              <w:t>。</w:t>
            </w:r>
          </w:p>
          <w:p>
            <w:pPr>
              <w:pStyle w:val="28"/>
              <w:spacing w:after="0" w:line="240" w:lineRule="auto"/>
              <w:ind w:left="0" w:leftChars="0" w:firstLine="0"/>
              <w:jc w:val="center"/>
              <w:rPr>
                <w:rFonts w:hint="default" w:ascii="Times New Roman" w:hAnsi="Times New Roman" w:cs="Times New Roman"/>
                <w:b/>
                <w:color w:val="auto"/>
                <w:kern w:val="2"/>
                <w:sz w:val="21"/>
                <w:szCs w:val="24"/>
                <w:highlight w:val="none"/>
              </w:rPr>
            </w:pPr>
            <w:r>
              <w:rPr>
                <w:rFonts w:hint="default" w:ascii="Times New Roman" w:hAnsi="Times New Roman" w:cs="Times New Roman"/>
                <w:b/>
                <w:color w:val="auto"/>
                <w:kern w:val="2"/>
                <w:sz w:val="21"/>
                <w:szCs w:val="24"/>
                <w:highlight w:val="none"/>
              </w:rPr>
              <w:t>表1-3本项目与</w:t>
            </w:r>
            <w:r>
              <w:rPr>
                <w:rFonts w:hint="eastAsia" w:ascii="Times New Roman" w:hAnsi="Times New Roman" w:cs="Times New Roman"/>
                <w:b/>
                <w:color w:val="auto"/>
                <w:kern w:val="2"/>
                <w:sz w:val="21"/>
                <w:szCs w:val="24"/>
                <w:highlight w:val="none"/>
                <w:lang w:val="en-US" w:eastAsia="zh-CN"/>
              </w:rPr>
              <w:t>滨海新</w:t>
            </w:r>
            <w:r>
              <w:rPr>
                <w:rFonts w:hint="default" w:ascii="Times New Roman" w:hAnsi="Times New Roman" w:cs="Times New Roman"/>
                <w:b/>
                <w:color w:val="auto"/>
                <w:kern w:val="2"/>
                <w:sz w:val="21"/>
                <w:szCs w:val="24"/>
                <w:highlight w:val="none"/>
              </w:rPr>
              <w:t>区环境管控单元生态环境准入清单符合性分析一览表</w:t>
            </w:r>
          </w:p>
          <w:tbl>
            <w:tblPr>
              <w:tblStyle w:val="2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31"/>
              <w:gridCol w:w="3064"/>
              <w:gridCol w:w="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4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bidi w:val="0"/>
                    <w:adjustRightInd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文件要求</w:t>
                  </w:r>
                </w:p>
              </w:tc>
              <w:tc>
                <w:tcPr>
                  <w:tcW w:w="2046"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bidi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项目现状</w:t>
                  </w:r>
                </w:p>
              </w:tc>
              <w:tc>
                <w:tcPr>
                  <w:tcW w:w="528" w:type="pct"/>
                  <w:tcBorders>
                    <w:top w:val="single" w:color="auto" w:sz="4" w:space="0"/>
                    <w:left w:val="nil"/>
                    <w:bottom w:val="single" w:color="auto" w:sz="4" w:space="0"/>
                    <w:right w:val="single" w:color="auto" w:sz="4" w:space="0"/>
                  </w:tcBorders>
                  <w:vAlign w:val="center"/>
                </w:tcPr>
                <w:p>
                  <w:pPr>
                    <w:keepNext w:val="0"/>
                    <w:keepLines w:val="0"/>
                    <w:pageBreakBefore w:val="0"/>
                    <w:widowControl/>
                    <w:kinsoku/>
                    <w:wordWrap/>
                    <w:overflowPunct/>
                    <w:bidi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bidi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3"/>
                    </w:numPr>
                    <w:kinsoku/>
                    <w:wordWrap/>
                    <w:overflowPunct/>
                    <w:bidi w:val="0"/>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生态保护红线内，自然保护地核心保护区原则上禁止人为活动，其他区域严格禁止开发性、生产性建设活动，在符合现行法律法规前提下，除国家重大战略项目外，仅允许对生态功能有限人为活动。</w:t>
                  </w:r>
                </w:p>
                <w:p>
                  <w:pPr>
                    <w:keepNext w:val="0"/>
                    <w:keepLines w:val="0"/>
                    <w:pageBreakBefore w:val="0"/>
                    <w:widowControl/>
                    <w:numPr>
                      <w:ilvl w:val="0"/>
                      <w:numId w:val="0"/>
                    </w:numPr>
                    <w:kinsoku/>
                    <w:wordWrap/>
                    <w:overflowPunct/>
                    <w:bidi w:val="0"/>
                    <w:snapToGrid/>
                    <w:spacing w:line="240" w:lineRule="auto"/>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严格执行国家产业政策和准入标准，</w:t>
                  </w:r>
                  <w:r>
                    <w:rPr>
                      <w:rFonts w:hint="eastAsia" w:cs="Times New Roman"/>
                      <w:color w:val="auto"/>
                      <w:sz w:val="21"/>
                      <w:szCs w:val="21"/>
                      <w:highlight w:val="none"/>
                      <w:lang w:eastAsia="zh-CN"/>
                    </w:rPr>
                    <w:t>实行</w:t>
                  </w:r>
                  <w:r>
                    <w:rPr>
                      <w:rFonts w:hint="default" w:ascii="Times New Roman" w:hAnsi="Times New Roman" w:cs="Times New Roman"/>
                      <w:color w:val="auto"/>
                      <w:sz w:val="21"/>
                      <w:szCs w:val="21"/>
                      <w:highlight w:val="none"/>
                    </w:rPr>
                    <w:t>生态环境准入清单制度，禁止新建、扩建高污染工业项目。</w:t>
                  </w:r>
                </w:p>
              </w:tc>
              <w:tc>
                <w:tcPr>
                  <w:tcW w:w="2046" w:type="pct"/>
                  <w:tcBorders>
                    <w:top w:val="single" w:color="auto" w:sz="4" w:space="0"/>
                    <w:left w:val="nil"/>
                    <w:bottom w:val="single" w:color="auto" w:sz="4" w:space="0"/>
                    <w:right w:val="single" w:color="auto" w:sz="4" w:space="0"/>
                  </w:tcBorders>
                  <w:vAlign w:val="center"/>
                </w:tcPr>
                <w:p>
                  <w:pPr>
                    <w:keepNext w:val="0"/>
                    <w:keepLines w:val="0"/>
                    <w:pageBreakBefore w:val="0"/>
                    <w:widowControl/>
                    <w:numPr>
                      <w:ilvl w:val="0"/>
                      <w:numId w:val="0"/>
                    </w:numPr>
                    <w:kinsoku/>
                    <w:wordWrap/>
                    <w:overflowPunct/>
                    <w:bidi w:val="0"/>
                    <w:snapToGrid/>
                    <w:spacing w:line="240" w:lineRule="auto"/>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1、本项目不涉及占用生态保护红线。</w:t>
                  </w:r>
                </w:p>
                <w:p>
                  <w:pPr>
                    <w:keepNext w:val="0"/>
                    <w:keepLines w:val="0"/>
                    <w:pageBreakBefore w:val="0"/>
                    <w:widowControl/>
                    <w:numPr>
                      <w:ilvl w:val="0"/>
                      <w:numId w:val="0"/>
                    </w:numPr>
                    <w:kinsoku/>
                    <w:wordWrap/>
                    <w:overflowPunct/>
                    <w:bidi w:val="0"/>
                    <w:snapToGrid/>
                    <w:spacing w:line="240" w:lineRule="auto"/>
                    <w:textAlignment w:val="auto"/>
                    <w:rPr>
                      <w:rFonts w:hint="default"/>
                      <w:color w:val="auto"/>
                      <w:highlight w:val="none"/>
                      <w:lang w:val="en-US" w:eastAsia="zh-CN"/>
                    </w:rPr>
                  </w:pPr>
                  <w:r>
                    <w:rPr>
                      <w:rFonts w:hint="eastAsia" w:cs="Times New Roman"/>
                      <w:color w:val="auto"/>
                      <w:sz w:val="21"/>
                      <w:szCs w:val="21"/>
                      <w:highlight w:val="none"/>
                      <w:lang w:val="en-US" w:eastAsia="zh-CN"/>
                    </w:rPr>
                    <w:t>2、本项目严格执行国家产业政策和准入标准，实行生态环境准入清单制度，不属于高污染工业项目。</w:t>
                  </w:r>
                </w:p>
              </w:tc>
              <w:tc>
                <w:tcPr>
                  <w:tcW w:w="528"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bidi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bidi w:val="0"/>
                    <w:snapToGrid/>
                    <w:spacing w:line="240" w:lineRule="auto"/>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污染物排放管控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2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4"/>
                    </w:numPr>
                    <w:kinsoku/>
                    <w:wordWrap/>
                    <w:overflowPunct/>
                    <w:bidi w:val="0"/>
                    <w:snapToGrid/>
                    <w:spacing w:line="240" w:lineRule="auto"/>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新改扩建项目必须严格执行污染物排放等量或倍量替代，严格落实国家大气污染物特别排放限值要求。</w:t>
                  </w:r>
                </w:p>
                <w:p>
                  <w:pPr>
                    <w:keepNext w:val="0"/>
                    <w:keepLines w:val="0"/>
                    <w:pageBreakBefore w:val="0"/>
                    <w:widowControl/>
                    <w:numPr>
                      <w:ilvl w:val="0"/>
                      <w:numId w:val="0"/>
                    </w:numPr>
                    <w:kinsoku/>
                    <w:wordWrap/>
                    <w:overflowPunct/>
                    <w:bidi w:val="0"/>
                    <w:snapToGrid/>
                    <w:spacing w:line="240" w:lineRule="auto"/>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2、完善雨污排水配套设施建设，实现污水应收尽收。</w:t>
                  </w:r>
                </w:p>
                <w:p>
                  <w:pPr>
                    <w:keepNext w:val="0"/>
                    <w:keepLines w:val="0"/>
                    <w:pageBreakBefore w:val="0"/>
                    <w:widowControl/>
                    <w:numPr>
                      <w:ilvl w:val="0"/>
                      <w:numId w:val="0"/>
                    </w:numPr>
                    <w:kinsoku/>
                    <w:wordWrap/>
                    <w:overflowPunct/>
                    <w:bidi w:val="0"/>
                    <w:snapToGrid/>
                    <w:spacing w:line="240" w:lineRule="auto"/>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3、严格执行废气、废水、噪声、固体废物等国家、地方污染物排放标准。</w:t>
                  </w:r>
                </w:p>
                <w:p>
                  <w:pPr>
                    <w:keepNext w:val="0"/>
                    <w:keepLines w:val="0"/>
                    <w:pageBreakBefore w:val="0"/>
                    <w:widowControl/>
                    <w:numPr>
                      <w:ilvl w:val="0"/>
                      <w:numId w:val="0"/>
                    </w:numPr>
                    <w:kinsoku/>
                    <w:wordWrap/>
                    <w:overflowPunct/>
                    <w:bidi w:val="0"/>
                    <w:snapToGrid/>
                    <w:spacing w:line="240" w:lineRule="auto"/>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4、新建、改建、扩建项目须落实SO2、NOx和VOCs等污染物排放总量倍量替代要求。用于建设项目的“可替代总量指标”原则上来源于国家或天津市认定的减排项目。</w:t>
                  </w:r>
                </w:p>
              </w:tc>
              <w:tc>
                <w:tcPr>
                  <w:tcW w:w="2046" w:type="pct"/>
                  <w:tcBorders>
                    <w:top w:val="single" w:color="auto" w:sz="4" w:space="0"/>
                    <w:left w:val="nil"/>
                    <w:bottom w:val="single" w:color="auto" w:sz="4" w:space="0"/>
                    <w:right w:val="single" w:color="auto" w:sz="4" w:space="0"/>
                  </w:tcBorders>
                  <w:vAlign w:val="center"/>
                </w:tcPr>
                <w:p>
                  <w:pPr>
                    <w:keepNext w:val="0"/>
                    <w:keepLines w:val="0"/>
                    <w:pageBreakBefore w:val="0"/>
                    <w:widowControl/>
                    <w:numPr>
                      <w:ilvl w:val="0"/>
                      <w:numId w:val="0"/>
                    </w:numPr>
                    <w:kinsoku/>
                    <w:wordWrap/>
                    <w:overflowPunct/>
                    <w:bidi w:val="0"/>
                    <w:snapToGrid/>
                    <w:spacing w:line="240" w:lineRule="auto"/>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1、项目新增污染物VOCs严格执行污染物排放等量或倍量替代，严格执行国家大气污染物特别排放限值要求。</w:t>
                  </w:r>
                </w:p>
                <w:p>
                  <w:pPr>
                    <w:keepNext w:val="0"/>
                    <w:keepLines w:val="0"/>
                    <w:pageBreakBefore w:val="0"/>
                    <w:widowControl/>
                    <w:numPr>
                      <w:ilvl w:val="0"/>
                      <w:numId w:val="0"/>
                    </w:numPr>
                    <w:kinsoku/>
                    <w:wordWrap/>
                    <w:overflowPunct/>
                    <w:bidi w:val="0"/>
                    <w:snapToGrid/>
                    <w:spacing w:line="240" w:lineRule="auto"/>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2、厂内雨水通过雨水管网排放；本项目无生产废水排放。</w:t>
                  </w:r>
                </w:p>
                <w:p>
                  <w:pPr>
                    <w:keepNext w:val="0"/>
                    <w:keepLines w:val="0"/>
                    <w:pageBreakBefore w:val="0"/>
                    <w:widowControl/>
                    <w:numPr>
                      <w:ilvl w:val="0"/>
                      <w:numId w:val="0"/>
                    </w:numPr>
                    <w:kinsoku/>
                    <w:wordWrap/>
                    <w:overflowPunct/>
                    <w:bidi w:val="0"/>
                    <w:snapToGrid/>
                    <w:spacing w:line="240" w:lineRule="auto"/>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3、本项目严格执行废气、废水、噪声、固体废物等国家、地方污染物排放标准。</w:t>
                  </w:r>
                </w:p>
                <w:p>
                  <w:pPr>
                    <w:keepNext w:val="0"/>
                    <w:keepLines w:val="0"/>
                    <w:pageBreakBefore w:val="0"/>
                    <w:widowControl/>
                    <w:numPr>
                      <w:ilvl w:val="0"/>
                      <w:numId w:val="0"/>
                    </w:numPr>
                    <w:kinsoku/>
                    <w:wordWrap/>
                    <w:overflowPunct/>
                    <w:bidi w:val="0"/>
                    <w:snapToGrid/>
                    <w:spacing w:line="240" w:lineRule="auto"/>
                    <w:textAlignment w:val="auto"/>
                    <w:rPr>
                      <w:rFonts w:hint="default"/>
                      <w:color w:val="auto"/>
                      <w:highlight w:val="none"/>
                      <w:lang w:val="en-US" w:eastAsia="zh-CN"/>
                    </w:rPr>
                  </w:pPr>
                  <w:r>
                    <w:rPr>
                      <w:rFonts w:hint="eastAsia" w:cs="Times New Roman"/>
                      <w:color w:val="auto"/>
                      <w:sz w:val="21"/>
                      <w:szCs w:val="21"/>
                      <w:highlight w:val="none"/>
                      <w:lang w:val="en-US" w:eastAsia="zh-CN"/>
                    </w:rPr>
                    <w:t>4、本项目新增VOCs排放总量执行等量或倍量替代要求。</w:t>
                  </w:r>
                </w:p>
              </w:tc>
              <w:tc>
                <w:tcPr>
                  <w:tcW w:w="528" w:type="pct"/>
                  <w:tcBorders>
                    <w:top w:val="single" w:color="auto" w:sz="4" w:space="0"/>
                    <w:left w:val="nil"/>
                    <w:bottom w:val="single" w:color="auto" w:sz="4" w:space="0"/>
                    <w:right w:val="single" w:color="auto" w:sz="4" w:space="0"/>
                  </w:tcBorders>
                  <w:vAlign w:val="center"/>
                </w:tcPr>
                <w:p>
                  <w:pPr>
                    <w:keepNext w:val="0"/>
                    <w:keepLines w:val="0"/>
                    <w:pageBreakBefore w:val="0"/>
                    <w:widowControl/>
                    <w:numPr>
                      <w:ilvl w:val="0"/>
                      <w:numId w:val="0"/>
                    </w:numPr>
                    <w:kinsoku/>
                    <w:wordWrap/>
                    <w:overflowPunct/>
                    <w:bidi w:val="0"/>
                    <w:snapToGrid/>
                    <w:spacing w:line="240" w:lineRule="auto"/>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bidi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2425" w:type="pct"/>
                  <w:tcBorders>
                    <w:top w:val="single" w:color="auto" w:sz="4" w:space="0"/>
                    <w:left w:val="single" w:color="auto" w:sz="4" w:space="0"/>
                    <w:bottom w:val="single" w:color="auto" w:sz="4" w:space="0"/>
                    <w:right w:val="single" w:color="auto" w:sz="4" w:space="0"/>
                  </w:tcBorders>
                  <w:vAlign w:val="center"/>
                </w:tcPr>
                <w:p>
                  <w:pPr>
                    <w:pStyle w:val="87"/>
                    <w:keepNext w:val="0"/>
                    <w:keepLines w:val="0"/>
                    <w:pageBreakBefore w:val="0"/>
                    <w:kinsoku/>
                    <w:wordWrap/>
                    <w:overflowPunct/>
                    <w:topLinePunct/>
                    <w:bidi w:val="0"/>
                    <w:snapToGrid/>
                    <w:spacing w:line="240" w:lineRule="auto"/>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1、.执行总体生态环境准入清单环境风险防控准入要求。</w:t>
                  </w:r>
                </w:p>
                <w:p>
                  <w:pPr>
                    <w:pStyle w:val="87"/>
                    <w:keepNext w:val="0"/>
                    <w:keepLines w:val="0"/>
                    <w:pageBreakBefore w:val="0"/>
                    <w:kinsoku/>
                    <w:wordWrap/>
                    <w:overflowPunct/>
                    <w:topLinePunct/>
                    <w:bidi w:val="0"/>
                    <w:snapToGrid/>
                    <w:spacing w:line="240" w:lineRule="auto"/>
                    <w:jc w:val="both"/>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完善园区环境风险防控体系和应急预案，加强滨海新区、园区以及企业环境风险防控联动；完善企业风险预案，强化区内环境风险企业的风险防控应急管理水平。</w:t>
                  </w:r>
                </w:p>
                <w:p>
                  <w:pPr>
                    <w:pStyle w:val="87"/>
                    <w:keepNext w:val="0"/>
                    <w:keepLines w:val="0"/>
                    <w:pageBreakBefore w:val="0"/>
                    <w:kinsoku/>
                    <w:wordWrap/>
                    <w:overflowPunct/>
                    <w:topLinePunct/>
                    <w:bidi w:val="0"/>
                    <w:snapToGrid/>
                    <w:spacing w:line="240" w:lineRule="auto"/>
                    <w:jc w:val="both"/>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建立并完善工业固体废物堆存场所污染防控方案，完善防扬撒、防流失、防渗漏等设施</w:t>
                  </w:r>
                  <w:r>
                    <w:rPr>
                      <w:rFonts w:hint="eastAsia" w:ascii="Times New Roman" w:hAnsi="Times New Roman" w:cs="Times New Roman"/>
                      <w:color w:val="auto"/>
                      <w:sz w:val="21"/>
                      <w:szCs w:val="21"/>
                      <w:highlight w:val="none"/>
                      <w:lang w:eastAsia="zh-CN"/>
                    </w:rPr>
                    <w:t>。</w:t>
                  </w:r>
                </w:p>
                <w:p>
                  <w:pPr>
                    <w:pStyle w:val="87"/>
                    <w:keepNext w:val="0"/>
                    <w:keepLines w:val="0"/>
                    <w:pageBreakBefore w:val="0"/>
                    <w:kinsoku/>
                    <w:wordWrap/>
                    <w:overflowPunct/>
                    <w:topLinePunct/>
                    <w:bidi w:val="0"/>
                    <w:snapToGrid/>
                    <w:spacing w:line="240" w:lineRule="auto"/>
                    <w:jc w:val="both"/>
                    <w:textAlignment w:val="auto"/>
                    <w:rPr>
                      <w:rFonts w:hint="default" w:ascii="Times New Roman" w:hAnsi="Times New Roman" w:cs="Times New Roman"/>
                      <w:color w:val="auto"/>
                      <w:sz w:val="21"/>
                      <w:szCs w:val="21"/>
                      <w:highlight w:val="none"/>
                    </w:rPr>
                  </w:pPr>
                </w:p>
              </w:tc>
              <w:tc>
                <w:tcPr>
                  <w:tcW w:w="2046" w:type="pct"/>
                  <w:tcBorders>
                    <w:top w:val="single" w:color="auto" w:sz="4" w:space="0"/>
                    <w:left w:val="nil"/>
                    <w:bottom w:val="single" w:color="auto" w:sz="4" w:space="0"/>
                    <w:right w:val="single" w:color="auto" w:sz="4" w:space="0"/>
                  </w:tcBorders>
                  <w:vAlign w:val="center"/>
                </w:tcPr>
                <w:p>
                  <w:pPr>
                    <w:keepNext w:val="0"/>
                    <w:keepLines w:val="0"/>
                    <w:pageBreakBefore w:val="0"/>
                    <w:widowControl/>
                    <w:numPr>
                      <w:ilvl w:val="0"/>
                      <w:numId w:val="5"/>
                    </w:numPr>
                    <w:kinsoku/>
                    <w:wordWrap/>
                    <w:overflowPunct/>
                    <w:bidi w:val="0"/>
                    <w:snapToGrid/>
                    <w:spacing w:line="240" w:lineRule="auto"/>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本项目主要的风险单元为漆料间、原料区、喷漆房和危废暂存间，为尽可能控制事故发生时的风险危害程度，本项目减少原料存储量，增加转运频次，设置完善的风险防范措施。</w:t>
                  </w:r>
                </w:p>
                <w:p>
                  <w:pPr>
                    <w:keepNext w:val="0"/>
                    <w:keepLines w:val="0"/>
                    <w:pageBreakBefore w:val="0"/>
                    <w:widowControl/>
                    <w:numPr>
                      <w:ilvl w:val="0"/>
                      <w:numId w:val="5"/>
                    </w:numPr>
                    <w:kinsoku/>
                    <w:wordWrap/>
                    <w:overflowPunct/>
                    <w:bidi w:val="0"/>
                    <w:snapToGrid/>
                    <w:spacing w:line="240" w:lineRule="auto"/>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本项目建设后，</w:t>
                  </w:r>
                  <w:r>
                    <w:rPr>
                      <w:rFonts w:hint="default" w:cs="Times New Roman"/>
                      <w:color w:val="auto"/>
                      <w:sz w:val="21"/>
                      <w:szCs w:val="21"/>
                      <w:highlight w:val="none"/>
                      <w:lang w:val="en-US" w:eastAsia="zh-CN"/>
                    </w:rPr>
                    <w:t>企业</w:t>
                  </w:r>
                  <w:r>
                    <w:rPr>
                      <w:rFonts w:hint="eastAsia" w:cs="Times New Roman"/>
                      <w:color w:val="auto"/>
                      <w:sz w:val="21"/>
                      <w:szCs w:val="21"/>
                      <w:highlight w:val="none"/>
                      <w:lang w:val="en-US" w:eastAsia="zh-CN"/>
                    </w:rPr>
                    <w:t>应</w:t>
                  </w:r>
                  <w:r>
                    <w:rPr>
                      <w:rFonts w:hint="default" w:cs="Times New Roman"/>
                      <w:color w:val="auto"/>
                      <w:sz w:val="21"/>
                      <w:szCs w:val="21"/>
                      <w:highlight w:val="none"/>
                      <w:lang w:val="en-US" w:eastAsia="zh-CN"/>
                    </w:rPr>
                    <w:t>编制突发环境事件应急预案并于</w:t>
                  </w:r>
                  <w:r>
                    <w:rPr>
                      <w:rFonts w:hint="eastAsia" w:cs="Times New Roman"/>
                      <w:color w:val="auto"/>
                      <w:sz w:val="21"/>
                      <w:szCs w:val="21"/>
                      <w:highlight w:val="none"/>
                      <w:lang w:val="en-US" w:eastAsia="zh-CN"/>
                    </w:rPr>
                    <w:t>滨海新区生态环境局</w:t>
                  </w:r>
                  <w:r>
                    <w:rPr>
                      <w:rFonts w:hint="default" w:cs="Times New Roman"/>
                      <w:color w:val="auto"/>
                      <w:sz w:val="21"/>
                      <w:szCs w:val="21"/>
                      <w:highlight w:val="none"/>
                      <w:lang w:val="en-US" w:eastAsia="zh-CN"/>
                    </w:rPr>
                    <w:t>进行备案，明确了与园区、滨海新区环境风险防控的联动机制。</w:t>
                  </w:r>
                </w:p>
                <w:p>
                  <w:pPr>
                    <w:keepNext w:val="0"/>
                    <w:keepLines w:val="0"/>
                    <w:pageBreakBefore w:val="0"/>
                    <w:widowControl/>
                    <w:numPr>
                      <w:ilvl w:val="0"/>
                      <w:numId w:val="0"/>
                    </w:numPr>
                    <w:kinsoku/>
                    <w:wordWrap/>
                    <w:overflowPunct/>
                    <w:bidi w:val="0"/>
                    <w:snapToGrid/>
                    <w:spacing w:line="240" w:lineRule="auto"/>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3、本项目将建设工业固体废物堆存场所污染防控方案，完善防扬撒、防流失、防渗漏等设施。</w:t>
                  </w:r>
                </w:p>
              </w:tc>
              <w:tc>
                <w:tcPr>
                  <w:tcW w:w="528" w:type="pct"/>
                  <w:tcBorders>
                    <w:top w:val="single" w:color="auto" w:sz="4" w:space="0"/>
                    <w:left w:val="nil"/>
                    <w:bottom w:val="single" w:color="auto" w:sz="4" w:space="0"/>
                    <w:right w:val="single" w:color="auto" w:sz="4" w:space="0"/>
                  </w:tcBorders>
                  <w:vAlign w:val="center"/>
                </w:tcPr>
                <w:p>
                  <w:pPr>
                    <w:keepNext w:val="0"/>
                    <w:keepLines w:val="0"/>
                    <w:pageBreakBefore w:val="0"/>
                    <w:widowControl/>
                    <w:numPr>
                      <w:ilvl w:val="0"/>
                      <w:numId w:val="0"/>
                    </w:numPr>
                    <w:kinsoku/>
                    <w:wordWrap/>
                    <w:overflowPunct/>
                    <w:bidi w:val="0"/>
                    <w:snapToGrid/>
                    <w:spacing w:line="240" w:lineRule="auto"/>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bidi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资源开发效率要求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25" w:type="pct"/>
                  <w:tcBorders>
                    <w:top w:val="single" w:color="auto" w:sz="4" w:space="0"/>
                    <w:left w:val="single" w:color="auto" w:sz="4" w:space="0"/>
                    <w:bottom w:val="single" w:color="auto" w:sz="4" w:space="0"/>
                    <w:right w:val="single" w:color="auto" w:sz="4" w:space="0"/>
                  </w:tcBorders>
                  <w:vAlign w:val="center"/>
                </w:tcPr>
                <w:p>
                  <w:pPr>
                    <w:pStyle w:val="87"/>
                    <w:keepNext w:val="0"/>
                    <w:keepLines w:val="0"/>
                    <w:pageBreakBefore w:val="0"/>
                    <w:kinsoku/>
                    <w:wordWrap/>
                    <w:overflowPunct/>
                    <w:topLinePunct/>
                    <w:bidi w:val="0"/>
                    <w:snapToGrid/>
                    <w:spacing w:line="240" w:lineRule="auto"/>
                    <w:jc w:val="both"/>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1、</w:t>
                  </w:r>
                  <w:r>
                    <w:rPr>
                      <w:rFonts w:hint="eastAsia" w:ascii="Times New Roman" w:hAnsi="Times New Roman" w:eastAsia="宋体" w:cs="Times New Roman"/>
                      <w:color w:val="auto"/>
                      <w:sz w:val="21"/>
                      <w:szCs w:val="21"/>
                      <w:highlight w:val="none"/>
                      <w:lang w:val="en-US" w:eastAsia="zh-CN" w:bidi="ar-SA"/>
                    </w:rPr>
                    <w:t>严格执行《天津市滨海新区国土空间总体规划》的空间布局、建设用地约束管控要求、坚守建设用地规模底线、落实土地用途管制制度。</w:t>
                  </w:r>
                </w:p>
              </w:tc>
              <w:tc>
                <w:tcPr>
                  <w:tcW w:w="2046" w:type="pct"/>
                  <w:tcBorders>
                    <w:top w:val="single" w:color="auto" w:sz="4" w:space="0"/>
                    <w:left w:val="nil"/>
                    <w:bottom w:val="single" w:color="auto" w:sz="4" w:space="0"/>
                    <w:right w:val="single" w:color="auto" w:sz="4" w:space="0"/>
                  </w:tcBorders>
                  <w:vAlign w:val="center"/>
                </w:tcPr>
                <w:p>
                  <w:pPr>
                    <w:pStyle w:val="87"/>
                    <w:keepNext w:val="0"/>
                    <w:keepLines w:val="0"/>
                    <w:pageBreakBefore w:val="0"/>
                    <w:kinsoku/>
                    <w:wordWrap/>
                    <w:overflowPunct/>
                    <w:topLinePunct/>
                    <w:bidi w:val="0"/>
                    <w:snapToGrid/>
                    <w:spacing w:line="240" w:lineRule="auto"/>
                    <w:jc w:val="both"/>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1、本项目位于租用厂房内，土地用途为工业用地。</w:t>
                  </w:r>
                </w:p>
              </w:tc>
              <w:tc>
                <w:tcPr>
                  <w:tcW w:w="528"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bidi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bidi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环境管控单元生态环境准入清单-产业聚集区-大港石化产业园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bidi w:val="0"/>
                    <w:snapToGrid/>
                    <w:spacing w:line="240" w:lineRule="auto"/>
                    <w:jc w:val="center"/>
                    <w:textAlignment w:val="auto"/>
                    <w:rPr>
                      <w:rFonts w:hint="default" w:ascii="Times New Roman" w:hAnsi="Times New Roman" w:cs="Times New Roman"/>
                      <w:color w:val="auto"/>
                      <w:sz w:val="21"/>
                      <w:szCs w:val="21"/>
                      <w:highlight w:val="none"/>
                    </w:rPr>
                  </w:pPr>
                  <w:r>
                    <w:rPr>
                      <w:rFonts w:eastAsiaTheme="minorEastAsia"/>
                      <w:color w:val="auto"/>
                      <w:sz w:val="21"/>
                      <w:szCs w:val="21"/>
                      <w:highlight w:val="none"/>
                    </w:rPr>
                    <w:t>空间布局约束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425" w:type="pct"/>
                  <w:tcBorders>
                    <w:top w:val="single" w:color="auto" w:sz="4" w:space="0"/>
                    <w:left w:val="single" w:color="auto" w:sz="4" w:space="0"/>
                    <w:bottom w:val="single" w:color="auto" w:sz="4" w:space="0"/>
                    <w:right w:val="single" w:color="auto" w:sz="4" w:space="0"/>
                  </w:tcBorders>
                  <w:vAlign w:val="center"/>
                </w:tcPr>
                <w:p>
                  <w:pPr>
                    <w:pStyle w:val="87"/>
                    <w:keepNext w:val="0"/>
                    <w:keepLines w:val="0"/>
                    <w:pageBreakBefore w:val="0"/>
                    <w:kinsoku/>
                    <w:wordWrap/>
                    <w:overflowPunct/>
                    <w:topLinePunct/>
                    <w:bidi w:val="0"/>
                    <w:snapToGrid/>
                    <w:spacing w:line="240" w:lineRule="auto"/>
                    <w:jc w:val="both"/>
                    <w:textAlignment w:val="auto"/>
                    <w:rPr>
                      <w:rFonts w:hint="eastAsia" w:ascii="Times New Roman" w:hAnsi="Times New Roman" w:cs="Times New Roman" w:eastAsiaTheme="minorEastAsia"/>
                      <w:color w:val="auto"/>
                      <w:sz w:val="21"/>
                      <w:szCs w:val="21"/>
                      <w:highlight w:val="none"/>
                      <w:lang w:val="en-US" w:eastAsia="zh-CN" w:bidi="ar-SA"/>
                    </w:rPr>
                  </w:pPr>
                  <w:r>
                    <w:rPr>
                      <w:rFonts w:hint="eastAsia" w:eastAsiaTheme="minorEastAsia"/>
                      <w:color w:val="auto"/>
                      <w:sz w:val="21"/>
                      <w:szCs w:val="21"/>
                      <w:highlight w:val="none"/>
                      <w:lang w:val="en-US" w:eastAsia="zh-CN"/>
                    </w:rPr>
                    <w:t>1、</w:t>
                  </w:r>
                  <w:r>
                    <w:rPr>
                      <w:rFonts w:eastAsiaTheme="minorEastAsia"/>
                      <w:color w:val="auto"/>
                      <w:sz w:val="21"/>
                      <w:szCs w:val="21"/>
                      <w:highlight w:val="none"/>
                    </w:rPr>
                    <w:t>新建项目应符合园区发展规划和空间布局要求</w:t>
                  </w:r>
                  <w:r>
                    <w:rPr>
                      <w:rFonts w:hint="eastAsia" w:eastAsiaTheme="minorEastAsia"/>
                      <w:color w:val="auto"/>
                      <w:sz w:val="21"/>
                      <w:szCs w:val="21"/>
                      <w:highlight w:val="none"/>
                      <w:lang w:eastAsia="zh-CN"/>
                    </w:rPr>
                    <w:t>。</w:t>
                  </w:r>
                </w:p>
              </w:tc>
              <w:tc>
                <w:tcPr>
                  <w:tcW w:w="2046" w:type="pct"/>
                  <w:tcBorders>
                    <w:top w:val="single" w:color="auto" w:sz="4" w:space="0"/>
                    <w:left w:val="nil"/>
                    <w:bottom w:val="single" w:color="auto" w:sz="4" w:space="0"/>
                    <w:right w:val="single" w:color="auto" w:sz="4" w:space="0"/>
                  </w:tcBorders>
                  <w:vAlign w:val="center"/>
                </w:tcPr>
                <w:p>
                  <w:pPr>
                    <w:pStyle w:val="87"/>
                    <w:keepNext w:val="0"/>
                    <w:keepLines w:val="0"/>
                    <w:pageBreakBefore w:val="0"/>
                    <w:kinsoku/>
                    <w:wordWrap/>
                    <w:overflowPunct/>
                    <w:topLinePunct/>
                    <w:bidi w:val="0"/>
                    <w:snapToGrid/>
                    <w:spacing w:line="240" w:lineRule="auto"/>
                    <w:jc w:val="both"/>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1、本项目符合园区发展规划和空间布局要求。</w:t>
                  </w:r>
                </w:p>
              </w:tc>
              <w:tc>
                <w:tcPr>
                  <w:tcW w:w="528"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bidi w:val="0"/>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bidi w:val="0"/>
                    <w:snapToGrid/>
                    <w:spacing w:line="240" w:lineRule="auto"/>
                    <w:jc w:val="center"/>
                    <w:textAlignment w:val="auto"/>
                    <w:rPr>
                      <w:rFonts w:hint="default" w:ascii="Times New Roman" w:hAnsi="Times New Roman" w:cs="Times New Roman"/>
                      <w:color w:val="auto"/>
                      <w:sz w:val="21"/>
                      <w:szCs w:val="21"/>
                      <w:highlight w:val="none"/>
                    </w:rPr>
                  </w:pPr>
                  <w:r>
                    <w:rPr>
                      <w:rFonts w:eastAsiaTheme="minorEastAsia"/>
                      <w:color w:val="auto"/>
                      <w:sz w:val="21"/>
                      <w:szCs w:val="21"/>
                      <w:highlight w:val="none"/>
                    </w:rPr>
                    <w:t>污染物排放管控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25" w:type="pct"/>
                  <w:tcBorders>
                    <w:top w:val="single" w:color="auto" w:sz="4" w:space="0"/>
                    <w:left w:val="single" w:color="auto" w:sz="4" w:space="0"/>
                    <w:bottom w:val="single" w:color="auto" w:sz="4" w:space="0"/>
                    <w:right w:val="single" w:color="auto" w:sz="4" w:space="0"/>
                  </w:tcBorders>
                  <w:vAlign w:val="center"/>
                </w:tcPr>
                <w:p>
                  <w:pPr>
                    <w:pStyle w:val="87"/>
                    <w:keepNext w:val="0"/>
                    <w:keepLines w:val="0"/>
                    <w:pageBreakBefore w:val="0"/>
                    <w:kinsoku/>
                    <w:wordWrap/>
                    <w:overflowPunct/>
                    <w:topLinePunct/>
                    <w:bidi w:val="0"/>
                    <w:snapToGrid/>
                    <w:spacing w:line="240" w:lineRule="auto"/>
                    <w:jc w:val="both"/>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1、强化工业集聚区水污染治理监管，确保污水集中处理设施达标排放。</w:t>
                  </w:r>
                </w:p>
                <w:p>
                  <w:pPr>
                    <w:pStyle w:val="87"/>
                    <w:keepNext w:val="0"/>
                    <w:keepLines w:val="0"/>
                    <w:pageBreakBefore w:val="0"/>
                    <w:kinsoku/>
                    <w:wordWrap/>
                    <w:overflowPunct/>
                    <w:topLinePunct/>
                    <w:bidi w:val="0"/>
                    <w:snapToGrid/>
                    <w:spacing w:line="240" w:lineRule="auto"/>
                    <w:jc w:val="both"/>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2、强化石化、化工、生物医药行业企业的VOCs排放管控。严格按照排放标准要求，全面加强精细化管理，确保稳定达标排放</w:t>
                  </w:r>
                </w:p>
              </w:tc>
              <w:tc>
                <w:tcPr>
                  <w:tcW w:w="2046" w:type="pct"/>
                  <w:tcBorders>
                    <w:top w:val="single" w:color="auto" w:sz="4" w:space="0"/>
                    <w:left w:val="nil"/>
                    <w:bottom w:val="single" w:color="auto" w:sz="4" w:space="0"/>
                    <w:right w:val="single" w:color="auto" w:sz="4" w:space="0"/>
                  </w:tcBorders>
                  <w:vAlign w:val="center"/>
                </w:tcPr>
                <w:p>
                  <w:pPr>
                    <w:pStyle w:val="87"/>
                    <w:keepNext w:val="0"/>
                    <w:keepLines w:val="0"/>
                    <w:pageBreakBefore w:val="0"/>
                    <w:kinsoku/>
                    <w:wordWrap/>
                    <w:overflowPunct/>
                    <w:topLinePunct/>
                    <w:bidi w:val="0"/>
                    <w:snapToGrid/>
                    <w:spacing w:line="240" w:lineRule="auto"/>
                    <w:jc w:val="both"/>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1、本项目外排废水仅为生活污水，经化粪池沉淀后通过管网排放，根据达标预测结论，本项目外排生活污水能够达标排放。</w:t>
                  </w:r>
                </w:p>
                <w:p>
                  <w:pPr>
                    <w:pStyle w:val="87"/>
                    <w:keepNext w:val="0"/>
                    <w:keepLines w:val="0"/>
                    <w:pageBreakBefore w:val="0"/>
                    <w:kinsoku/>
                    <w:wordWrap/>
                    <w:overflowPunct/>
                    <w:topLinePunct/>
                    <w:bidi w:val="0"/>
                    <w:snapToGrid/>
                    <w:spacing w:line="240" w:lineRule="auto"/>
                    <w:jc w:val="both"/>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2、本项目挥发性有机废气经密闭收集后，通过水帘+干式过滤棉+活性炭吸附、脱附催化燃烧装置处理后由一根15m高排气筒排放。</w:t>
                  </w:r>
                </w:p>
              </w:tc>
              <w:tc>
                <w:tcPr>
                  <w:tcW w:w="528"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bidi w:val="0"/>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bidi w:val="0"/>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环境风险防控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trPr>
              <w:tc>
                <w:tcPr>
                  <w:tcW w:w="2425" w:type="pct"/>
                  <w:tcBorders>
                    <w:top w:val="single" w:color="auto" w:sz="4" w:space="0"/>
                    <w:left w:val="single" w:color="auto" w:sz="4" w:space="0"/>
                    <w:right w:val="single" w:color="auto" w:sz="4" w:space="0"/>
                  </w:tcBorders>
                  <w:vAlign w:val="center"/>
                </w:tcPr>
                <w:p>
                  <w:pPr>
                    <w:pStyle w:val="87"/>
                    <w:keepNext w:val="0"/>
                    <w:keepLines w:val="0"/>
                    <w:pageBreakBefore w:val="0"/>
                    <w:kinsoku/>
                    <w:wordWrap/>
                    <w:overflowPunct/>
                    <w:topLinePunct/>
                    <w:bidi w:val="0"/>
                    <w:snapToGrid/>
                    <w:spacing w:line="240" w:lineRule="auto"/>
                    <w:jc w:val="both"/>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1、完善园区环境风险防控体系和应急预案，加强滨海新区、园区企业环境风险防控联动；完善企业风险预案，强化区内环境风险企业的风险防控应急管理水平。</w:t>
                  </w:r>
                </w:p>
                <w:p>
                  <w:pPr>
                    <w:pStyle w:val="87"/>
                    <w:keepNext w:val="0"/>
                    <w:keepLines w:val="0"/>
                    <w:pageBreakBefore w:val="0"/>
                    <w:kinsoku/>
                    <w:wordWrap/>
                    <w:overflowPunct/>
                    <w:topLinePunct/>
                    <w:bidi w:val="0"/>
                    <w:snapToGrid/>
                    <w:spacing w:line="240" w:lineRule="auto"/>
                    <w:jc w:val="both"/>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2、建立并完善工业固体废物堆存场所污染防控方案，完善防扬撒、防流失、防渗透等设施。</w:t>
                  </w:r>
                </w:p>
              </w:tc>
              <w:tc>
                <w:tcPr>
                  <w:tcW w:w="2046" w:type="pct"/>
                  <w:tcBorders>
                    <w:top w:val="single" w:color="auto" w:sz="4" w:space="0"/>
                    <w:left w:val="nil"/>
                    <w:right w:val="single" w:color="auto" w:sz="4" w:space="0"/>
                  </w:tcBorders>
                  <w:vAlign w:val="center"/>
                </w:tcPr>
                <w:p>
                  <w:pPr>
                    <w:pStyle w:val="87"/>
                    <w:keepNext w:val="0"/>
                    <w:keepLines w:val="0"/>
                    <w:pageBreakBefore w:val="0"/>
                    <w:kinsoku/>
                    <w:wordWrap/>
                    <w:overflowPunct/>
                    <w:topLinePunct/>
                    <w:bidi w:val="0"/>
                    <w:snapToGrid/>
                    <w:spacing w:line="240" w:lineRule="auto"/>
                    <w:jc w:val="both"/>
                    <w:textAlignment w:val="auto"/>
                    <w:rPr>
                      <w:rFonts w:hint="eastAsia"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1、本项目建成后，应编制突发环境事件应急预案，完善环境风险防控体系。</w:t>
                  </w:r>
                </w:p>
                <w:p>
                  <w:pPr>
                    <w:pStyle w:val="87"/>
                    <w:keepNext w:val="0"/>
                    <w:keepLines w:val="0"/>
                    <w:pageBreakBefore w:val="0"/>
                    <w:kinsoku/>
                    <w:wordWrap/>
                    <w:overflowPunct/>
                    <w:topLinePunct/>
                    <w:bidi w:val="0"/>
                    <w:snapToGrid/>
                    <w:spacing w:line="240" w:lineRule="auto"/>
                    <w:jc w:val="both"/>
                    <w:textAlignment w:val="auto"/>
                    <w:rPr>
                      <w:rFonts w:hint="default" w:ascii="Times New Roman" w:hAnsi="Times New Roman" w:cs="Times New Roman"/>
                      <w:color w:val="auto"/>
                      <w:sz w:val="21"/>
                      <w:szCs w:val="21"/>
                      <w:highlight w:val="none"/>
                      <w:lang w:val="en-US" w:eastAsia="zh-CN" w:bidi="ar-SA"/>
                    </w:rPr>
                  </w:pPr>
                  <w:r>
                    <w:rPr>
                      <w:rFonts w:hint="eastAsia" w:ascii="Times New Roman" w:hAnsi="Times New Roman" w:cs="Times New Roman"/>
                      <w:color w:val="auto"/>
                      <w:sz w:val="21"/>
                      <w:szCs w:val="21"/>
                      <w:highlight w:val="none"/>
                      <w:lang w:val="en-US" w:eastAsia="zh-CN" w:bidi="ar-SA"/>
                    </w:rPr>
                    <w:t>2、本项目将建设工业固体废物堆存场所污染防控方案，完善防扬撒、防流失、防渗漏等设施。</w:t>
                  </w:r>
                </w:p>
              </w:tc>
              <w:tc>
                <w:tcPr>
                  <w:tcW w:w="528"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bidi w:val="0"/>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符合</w:t>
                  </w:r>
                </w:p>
              </w:tc>
            </w:tr>
          </w:tbl>
          <w:p>
            <w:pPr>
              <w:pStyle w:val="28"/>
              <w:ind w:left="0" w:leftChars="0" w:firstLine="480" w:firstLineChars="200"/>
              <w:rPr>
                <w:rFonts w:hint="default" w:ascii="Times New Roman" w:hAnsi="Times New Roman" w:cs="Times New Roman"/>
                <w:b/>
                <w:color w:val="auto"/>
                <w:highlight w:val="none"/>
              </w:rPr>
            </w:pPr>
            <w:r>
              <w:rPr>
                <w:rFonts w:hint="default" w:ascii="Times New Roman" w:hAnsi="Times New Roman" w:cs="Times New Roman"/>
                <w:snapToGrid/>
                <w:color w:val="auto"/>
                <w:spacing w:val="0"/>
                <w:sz w:val="24"/>
                <w:szCs w:val="24"/>
                <w:highlight w:val="none"/>
              </w:rPr>
              <w:t>综上，本项目符合天津市及</w:t>
            </w:r>
            <w:r>
              <w:rPr>
                <w:rFonts w:hint="eastAsia" w:ascii="Times New Roman" w:hAnsi="Times New Roman" w:cs="Times New Roman"/>
                <w:snapToGrid/>
                <w:color w:val="auto"/>
                <w:spacing w:val="0"/>
                <w:sz w:val="24"/>
                <w:szCs w:val="24"/>
                <w:highlight w:val="none"/>
                <w:lang w:val="en-US" w:eastAsia="zh-CN"/>
              </w:rPr>
              <w:t>滨海新</w:t>
            </w:r>
            <w:r>
              <w:rPr>
                <w:rFonts w:hint="default" w:ascii="Times New Roman" w:hAnsi="Times New Roman" w:cs="Times New Roman"/>
                <w:snapToGrid/>
                <w:color w:val="auto"/>
                <w:spacing w:val="0"/>
                <w:sz w:val="24"/>
                <w:szCs w:val="24"/>
                <w:highlight w:val="none"/>
              </w:rPr>
              <w:t>区</w:t>
            </w:r>
            <w:r>
              <w:rPr>
                <w:rFonts w:hint="eastAsia" w:ascii="Times New Roman" w:hAnsi="Times New Roman" w:cs="Times New Roman"/>
                <w:snapToGrid/>
                <w:color w:val="auto"/>
                <w:spacing w:val="0"/>
                <w:sz w:val="24"/>
                <w:szCs w:val="24"/>
                <w:highlight w:val="none"/>
                <w:lang w:eastAsia="zh-CN"/>
              </w:rPr>
              <w:t>“</w:t>
            </w:r>
            <w:r>
              <w:rPr>
                <w:rFonts w:hint="default" w:ascii="Times New Roman" w:hAnsi="Times New Roman" w:cs="Times New Roman"/>
                <w:snapToGrid/>
                <w:color w:val="auto"/>
                <w:spacing w:val="0"/>
                <w:sz w:val="24"/>
                <w:szCs w:val="24"/>
                <w:highlight w:val="none"/>
              </w:rPr>
              <w:t>三线一单</w:t>
            </w:r>
            <w:r>
              <w:rPr>
                <w:rFonts w:hint="eastAsia" w:ascii="Times New Roman" w:hAnsi="Times New Roman" w:cs="Times New Roman"/>
                <w:snapToGrid/>
                <w:color w:val="auto"/>
                <w:spacing w:val="0"/>
                <w:sz w:val="24"/>
                <w:szCs w:val="24"/>
                <w:highlight w:val="none"/>
                <w:lang w:eastAsia="zh-CN"/>
              </w:rPr>
              <w:t>”</w:t>
            </w:r>
            <w:r>
              <w:rPr>
                <w:rFonts w:hint="default" w:ascii="Times New Roman" w:hAnsi="Times New Roman" w:cs="Times New Roman"/>
                <w:snapToGrid/>
                <w:color w:val="auto"/>
                <w:spacing w:val="0"/>
                <w:sz w:val="24"/>
                <w:szCs w:val="24"/>
                <w:highlight w:val="none"/>
              </w:rPr>
              <w:t>生态环境分区管控意见中重点管控单元生态环境准入要求。</w:t>
            </w:r>
          </w:p>
          <w:p>
            <w:pPr>
              <w:spacing w:line="360" w:lineRule="auto"/>
              <w:contextualSpacing/>
              <w:rPr>
                <w:rFonts w:hint="default" w:ascii="Times New Roman" w:hAnsi="Times New Roman" w:cs="Times New Roman"/>
                <w:b/>
                <w:bCs/>
                <w:color w:val="auto"/>
                <w:highlight w:val="none"/>
              </w:rPr>
            </w:pPr>
            <w:r>
              <w:rPr>
                <w:rFonts w:hint="eastAsia" w:cs="Times New Roman"/>
                <w:b/>
                <w:bCs/>
                <w:color w:val="auto"/>
                <w:highlight w:val="none"/>
                <w:lang w:val="en-US" w:eastAsia="zh-CN"/>
              </w:rPr>
              <w:t>三</w:t>
            </w:r>
            <w:r>
              <w:rPr>
                <w:rFonts w:hint="default" w:ascii="Times New Roman" w:hAnsi="Times New Roman" w:cs="Times New Roman"/>
                <w:b/>
                <w:bCs/>
                <w:color w:val="auto"/>
                <w:highlight w:val="none"/>
              </w:rPr>
              <w:t>、与现行环保污染防治政策符合性分析</w:t>
            </w:r>
          </w:p>
          <w:p>
            <w:pPr>
              <w:pStyle w:val="92"/>
              <w:ind w:firstLine="480" w:firstLineChars="0"/>
              <w:jc w:val="center"/>
              <w:rPr>
                <w:rFonts w:hint="eastAsia" w:cs="Times New Roman"/>
                <w:color w:val="auto"/>
                <w:highlight w:val="none"/>
                <w:lang w:val="en-US" w:eastAsia="zh-CN"/>
              </w:rPr>
            </w:pPr>
            <w:r>
              <w:rPr>
                <w:rFonts w:hint="default" w:ascii="Times New Roman" w:hAnsi="Times New Roman" w:cs="Times New Roman"/>
                <w:color w:val="auto"/>
                <w:highlight w:val="none"/>
              </w:rPr>
              <w:t>本项目</w:t>
            </w:r>
            <w:r>
              <w:rPr>
                <w:rFonts w:hint="eastAsia" w:cs="Times New Roman"/>
                <w:color w:val="auto"/>
                <w:highlight w:val="none"/>
                <w:lang w:val="en-US" w:eastAsia="zh-CN"/>
              </w:rPr>
              <w:t>行业类别为</w:t>
            </w:r>
            <w:r>
              <w:rPr>
                <w:rFonts w:hint="default" w:ascii="Times New Roman" w:hAnsi="Times New Roman" w:cs="Times New Roman"/>
                <w:color w:val="auto"/>
                <w:highlight w:val="none"/>
              </w:rPr>
              <w:t>属于C3311金属结构制造，</w:t>
            </w:r>
            <w:r>
              <w:rPr>
                <w:rFonts w:hint="eastAsia" w:cs="Times New Roman"/>
                <w:color w:val="auto"/>
                <w:highlight w:val="none"/>
                <w:lang w:val="en-US" w:eastAsia="zh-CN"/>
              </w:rPr>
              <w:t>涉及喷漆工艺，该工</w:t>
            </w:r>
          </w:p>
          <w:p>
            <w:pPr>
              <w:pStyle w:val="92"/>
              <w:ind w:left="0" w:leftChars="0" w:firstLine="0" w:firstLineChars="0"/>
              <w:jc w:val="both"/>
              <w:rPr>
                <w:rFonts w:hint="default" w:ascii="Times New Roman" w:hAnsi="Times New Roman" w:cs="Times New Roman"/>
                <w:color w:val="auto"/>
                <w:highlight w:val="none"/>
                <w:lang w:bidi="ar"/>
              </w:rPr>
            </w:pPr>
            <w:r>
              <w:rPr>
                <w:rFonts w:hint="eastAsia" w:cs="Times New Roman"/>
                <w:color w:val="auto"/>
                <w:highlight w:val="none"/>
                <w:lang w:val="en-US" w:eastAsia="zh-CN"/>
              </w:rPr>
              <w:t>艺</w:t>
            </w:r>
            <w:r>
              <w:rPr>
                <w:rFonts w:hint="default" w:ascii="Times New Roman" w:hAnsi="Times New Roman" w:cs="Times New Roman"/>
                <w:color w:val="auto"/>
                <w:highlight w:val="none"/>
              </w:rPr>
              <w:t>属于《重点行业挥发</w:t>
            </w:r>
            <w:r>
              <w:rPr>
                <w:rFonts w:hint="default" w:ascii="Times New Roman" w:hAnsi="Times New Roman" w:cs="Times New Roman"/>
                <w:color w:val="auto"/>
                <w:highlight w:val="none"/>
                <w:lang w:bidi="ar"/>
              </w:rPr>
              <w:t>性有机物综合治理方案》（环大气〔2019〕53号）中明确的重点行业。</w:t>
            </w:r>
          </w:p>
          <w:p>
            <w:pPr>
              <w:pStyle w:val="92"/>
              <w:ind w:left="0" w:leftChars="0"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根据《重点行业挥发</w:t>
            </w:r>
            <w:r>
              <w:rPr>
                <w:rFonts w:hint="default" w:ascii="Times New Roman" w:hAnsi="Times New Roman" w:cs="Times New Roman"/>
                <w:color w:val="auto"/>
                <w:highlight w:val="none"/>
                <w:lang w:bidi="ar"/>
              </w:rPr>
              <w:t>性有机物综合治理方案》（环大气〔2019〕53号）、</w:t>
            </w:r>
            <w:r>
              <w:rPr>
                <w:rFonts w:hint="default" w:ascii="Times New Roman" w:hAnsi="Times New Roman" w:cs="Times New Roman"/>
                <w:bCs/>
                <w:color w:val="auto"/>
                <w:highlight w:val="none"/>
                <w:lang w:val="zh-CN"/>
              </w:rPr>
              <w:t>《关于贯彻落实&lt;重点行业挥发性有机物综合治理方案&gt;工作的通知》（津污防气函[2019]7 号）</w:t>
            </w:r>
            <w:r>
              <w:rPr>
                <w:rFonts w:hint="default" w:ascii="Times New Roman" w:hAnsi="Times New Roman" w:cs="Times New Roman"/>
                <w:color w:val="auto"/>
                <w:highlight w:val="none"/>
                <w:lang w:bidi="ar"/>
              </w:rPr>
              <w:t>、《天津市人民政府办公厅关于印发天津市生态环境</w:t>
            </w:r>
            <w:r>
              <w:rPr>
                <w:rFonts w:hint="default" w:ascii="Times New Roman" w:hAnsi="Times New Roman" w:cs="Times New Roman" w:eastAsiaTheme="minorEastAsia"/>
                <w:color w:val="auto"/>
                <w:highlight w:val="none"/>
                <w:lang w:bidi="ar"/>
              </w:rPr>
              <w:t>保护“十四五”规</w:t>
            </w:r>
            <w:r>
              <w:rPr>
                <w:rFonts w:hint="default" w:ascii="Times New Roman" w:hAnsi="Times New Roman" w:cs="Times New Roman"/>
                <w:color w:val="auto"/>
                <w:highlight w:val="none"/>
                <w:lang w:bidi="ar"/>
              </w:rPr>
              <w:t>划的通知》（津政办发</w:t>
            </w:r>
            <w:r>
              <w:rPr>
                <w:rFonts w:hint="eastAsia" w:cs="Times New Roman"/>
                <w:color w:val="auto"/>
                <w:highlight w:val="none"/>
                <w:lang w:eastAsia="zh-CN" w:bidi="ar"/>
              </w:rPr>
              <w:t>〔</w:t>
            </w:r>
            <w:r>
              <w:rPr>
                <w:rFonts w:hint="default" w:ascii="Times New Roman" w:hAnsi="Times New Roman" w:cs="Times New Roman"/>
                <w:color w:val="auto"/>
                <w:highlight w:val="none"/>
                <w:lang w:bidi="ar"/>
              </w:rPr>
              <w:t>2022</w:t>
            </w:r>
            <w:r>
              <w:rPr>
                <w:rFonts w:hint="eastAsia" w:cs="Times New Roman"/>
                <w:color w:val="auto"/>
                <w:highlight w:val="none"/>
                <w:lang w:eastAsia="zh-CN" w:bidi="ar"/>
              </w:rPr>
              <w:t>〕</w:t>
            </w:r>
            <w:r>
              <w:rPr>
                <w:rFonts w:hint="default" w:ascii="Times New Roman" w:hAnsi="Times New Roman" w:cs="Times New Roman"/>
                <w:color w:val="auto"/>
                <w:highlight w:val="none"/>
                <w:lang w:bidi="ar"/>
              </w:rPr>
              <w:t>2号）、《关于印发天津市深入打好蓝天、碧水、净土 三个保卫战行动计划的通知》（津污防攻坚指〔2022〕2 号）</w:t>
            </w:r>
            <w:r>
              <w:rPr>
                <w:rFonts w:hint="default" w:ascii="Times New Roman" w:hAnsi="Times New Roman" w:cs="Times New Roman"/>
                <w:bCs/>
                <w:color w:val="auto"/>
                <w:highlight w:val="none"/>
              </w:rPr>
              <w:t>、《天津市深入打好污染防治攻坚战2023 年工作计划》（津污防攻坚指〔2023〕1号）</w:t>
            </w:r>
            <w:r>
              <w:rPr>
                <w:rFonts w:hint="eastAsia" w:cs="Times New Roman"/>
                <w:bCs/>
                <w:color w:val="auto"/>
                <w:highlight w:val="none"/>
                <w:lang w:eastAsia="zh-CN"/>
              </w:rPr>
              <w:t>、《天津市持续深入打好污染防治攻坚战三年行动方案》</w:t>
            </w:r>
            <w:r>
              <w:rPr>
                <w:rFonts w:hint="default" w:ascii="Times New Roman" w:hAnsi="Times New Roman" w:cs="Times New Roman"/>
                <w:color w:val="auto"/>
                <w:highlight w:val="none"/>
              </w:rPr>
              <w:t xml:space="preserve">，本项目与现行环保污染防治政策符合性情况如下。 </w:t>
            </w:r>
          </w:p>
          <w:p>
            <w:pPr>
              <w:jc w:val="center"/>
              <w:rPr>
                <w:rFonts w:hint="default" w:ascii="Times New Roman" w:hAnsi="Times New Roman" w:cs="Times New Roman"/>
                <w:b/>
                <w:snapToGrid w:val="0"/>
                <w:color w:val="auto"/>
                <w:spacing w:val="6"/>
                <w:kern w:val="2"/>
                <w:sz w:val="21"/>
                <w:szCs w:val="24"/>
                <w:highlight w:val="none"/>
              </w:rPr>
            </w:pPr>
            <w:r>
              <w:rPr>
                <w:rFonts w:hint="default" w:ascii="Times New Roman" w:hAnsi="Times New Roman" w:cs="Times New Roman"/>
                <w:b/>
                <w:snapToGrid w:val="0"/>
                <w:color w:val="auto"/>
                <w:spacing w:val="6"/>
                <w:kern w:val="2"/>
                <w:sz w:val="21"/>
                <w:szCs w:val="24"/>
                <w:highlight w:val="none"/>
              </w:rPr>
              <w:t>表1-4主要环境保护政策符合性分析一览表</w:t>
            </w:r>
          </w:p>
          <w:tbl>
            <w:tblPr>
              <w:tblStyle w:val="29"/>
              <w:tblpPr w:leftFromText="181" w:rightFromText="181" w:vertAnchor="text" w:horzAnchor="page" w:tblpXSpec="center" w:tblpY="1"/>
              <w:tblOverlap w:val="never"/>
              <w:tblW w:w="7464" w:type="dxa"/>
              <w:jc w:val="center"/>
              <w:tblLayout w:type="autofit"/>
              <w:tblCellMar>
                <w:top w:w="0" w:type="dxa"/>
                <w:left w:w="108" w:type="dxa"/>
                <w:bottom w:w="0" w:type="dxa"/>
                <w:right w:w="108" w:type="dxa"/>
              </w:tblCellMar>
            </w:tblPr>
            <w:tblGrid>
              <w:gridCol w:w="666"/>
              <w:gridCol w:w="2908"/>
              <w:gridCol w:w="2920"/>
              <w:gridCol w:w="970"/>
            </w:tblGrid>
            <w:tr>
              <w:tblPrEx>
                <w:tblCellMar>
                  <w:top w:w="0" w:type="dxa"/>
                  <w:left w:w="108" w:type="dxa"/>
                  <w:bottom w:w="0" w:type="dxa"/>
                  <w:right w:w="108" w:type="dxa"/>
                </w:tblCellMar>
              </w:tblPrEx>
              <w:trPr>
                <w:trHeight w:val="507"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序号</w:t>
                  </w:r>
                </w:p>
              </w:tc>
              <w:tc>
                <w:tcPr>
                  <w:tcW w:w="19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政策要求</w:t>
                  </w:r>
                </w:p>
              </w:tc>
              <w:tc>
                <w:tcPr>
                  <w:tcW w:w="195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本项目建设内容</w:t>
                  </w:r>
                </w:p>
              </w:tc>
              <w:tc>
                <w:tcPr>
                  <w:tcW w:w="64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符合性分析</w:t>
                  </w:r>
                </w:p>
              </w:tc>
            </w:tr>
            <w:tr>
              <w:tblPrEx>
                <w:tblCellMar>
                  <w:top w:w="0" w:type="dxa"/>
                  <w:left w:w="108" w:type="dxa"/>
                  <w:bottom w:w="0" w:type="dxa"/>
                  <w:right w:w="108" w:type="dxa"/>
                </w:tblCellMar>
              </w:tblPrEx>
              <w:trPr>
                <w:trHeight w:val="9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《重点行业挥发性有机物综合治理方案》（环大气〔2019〕53号）</w:t>
                  </w:r>
                </w:p>
              </w:tc>
            </w:tr>
            <w:tr>
              <w:tblPrEx>
                <w:tblCellMar>
                  <w:top w:w="0" w:type="dxa"/>
                  <w:left w:w="108" w:type="dxa"/>
                  <w:bottom w:w="0" w:type="dxa"/>
                  <w:right w:w="108" w:type="dxa"/>
                </w:tblCellMar>
              </w:tblPrEx>
              <w:trPr>
                <w:trHeight w:val="226"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1.1</w:t>
                  </w:r>
                </w:p>
              </w:tc>
              <w:tc>
                <w:tcPr>
                  <w:tcW w:w="19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bidi="ar"/>
                    </w:rPr>
                    <w:t>通过使用水性、粉末、高固体分、无溶剂、辐射固化等低VOCs含量的涂料，替代溶剂型涂料等，从源头减少VOCs产生。工业涂装、包装印刷等行业要加大源头替代力度。企业应大力推广使用低VOCs含量木器涂料等。</w:t>
                  </w:r>
                </w:p>
              </w:tc>
              <w:tc>
                <w:tcPr>
                  <w:tcW w:w="195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本项目使用的</w:t>
                  </w:r>
                  <w:r>
                    <w:rPr>
                      <w:rFonts w:hint="eastAsia" w:cs="Times New Roman"/>
                      <w:bCs/>
                      <w:color w:val="auto"/>
                      <w:sz w:val="21"/>
                      <w:szCs w:val="21"/>
                      <w:highlight w:val="none"/>
                      <w:lang w:val="en-US" w:eastAsia="zh-CN"/>
                    </w:rPr>
                    <w:t>漆料为水性漆和油性漆</w:t>
                  </w:r>
                  <w:r>
                    <w:rPr>
                      <w:rFonts w:hint="eastAsia" w:cs="Times New Roman"/>
                      <w:bCs/>
                      <w:color w:val="auto"/>
                      <w:sz w:val="21"/>
                      <w:szCs w:val="21"/>
                      <w:highlight w:val="none"/>
                      <w:lang w:eastAsia="zh-CN"/>
                    </w:rPr>
                    <w:t>。</w:t>
                  </w:r>
                  <w:r>
                    <w:rPr>
                      <w:rFonts w:hint="default" w:ascii="Times New Roman" w:hAnsi="Times New Roman" w:cs="Times New Roman"/>
                      <w:color w:val="auto"/>
                      <w:sz w:val="21"/>
                      <w:szCs w:val="21"/>
                      <w:highlight w:val="none"/>
                    </w:rPr>
                    <w:t>根据报告后续内容分析，本项目用漆属于工业防护涂料中建筑物和构筑物防护涂料（建筑用墙面涂料除外），金属基材防腐涂料，调配后的底漆VOC含量为</w:t>
                  </w:r>
                  <w:r>
                    <w:rPr>
                      <w:rFonts w:hint="eastAsia" w:cs="Times New Roman"/>
                      <w:color w:val="auto"/>
                      <w:sz w:val="21"/>
                      <w:szCs w:val="21"/>
                      <w:highlight w:val="none"/>
                      <w:lang w:eastAsia="zh-CN"/>
                    </w:rPr>
                    <w:t>435g</w:t>
                  </w:r>
                  <w:r>
                    <w:rPr>
                      <w:rFonts w:hint="default" w:ascii="Times New Roman" w:hAnsi="Times New Roman" w:cs="Times New Roman"/>
                      <w:color w:val="auto"/>
                      <w:sz w:val="21"/>
                      <w:szCs w:val="21"/>
                      <w:highlight w:val="none"/>
                    </w:rPr>
                    <w:t>/L，小于限值450 克/升；</w:t>
                  </w:r>
                  <w:r>
                    <w:rPr>
                      <w:rFonts w:hint="eastAsia" w:cs="Times New Roman"/>
                      <w:color w:val="auto"/>
                      <w:sz w:val="21"/>
                      <w:szCs w:val="21"/>
                      <w:highlight w:val="none"/>
                      <w:lang w:val="en-US" w:eastAsia="zh-CN"/>
                    </w:rPr>
                    <w:t>面漆</w:t>
                  </w:r>
                  <w:r>
                    <w:rPr>
                      <w:rFonts w:hint="default" w:ascii="Times New Roman" w:hAnsi="Times New Roman" w:cs="Times New Roman"/>
                      <w:color w:val="auto"/>
                      <w:sz w:val="21"/>
                      <w:szCs w:val="21"/>
                      <w:highlight w:val="none"/>
                    </w:rPr>
                    <w:t>VOC含量为</w:t>
                  </w:r>
                  <w:r>
                    <w:rPr>
                      <w:rFonts w:hint="eastAsia" w:cs="Times New Roman"/>
                      <w:color w:val="auto"/>
                      <w:sz w:val="21"/>
                      <w:szCs w:val="21"/>
                      <w:highlight w:val="none"/>
                      <w:lang w:eastAsia="zh-CN"/>
                    </w:rPr>
                    <w:t>4</w:t>
                  </w:r>
                  <w:r>
                    <w:rPr>
                      <w:rFonts w:hint="eastAsia" w:cs="Times New Roman"/>
                      <w:color w:val="auto"/>
                      <w:sz w:val="21"/>
                      <w:szCs w:val="21"/>
                      <w:highlight w:val="none"/>
                      <w:lang w:val="en-US" w:eastAsia="zh-CN"/>
                    </w:rPr>
                    <w:t>33</w:t>
                  </w:r>
                  <w:r>
                    <w:rPr>
                      <w:rFonts w:hint="eastAsia" w:cs="Times New Roman"/>
                      <w:color w:val="auto"/>
                      <w:sz w:val="21"/>
                      <w:szCs w:val="21"/>
                      <w:highlight w:val="none"/>
                      <w:lang w:eastAsia="zh-CN"/>
                    </w:rPr>
                    <w:t>g</w:t>
                  </w:r>
                  <w:r>
                    <w:rPr>
                      <w:rFonts w:hint="default" w:ascii="Times New Roman" w:hAnsi="Times New Roman" w:cs="Times New Roman"/>
                      <w:color w:val="auto"/>
                      <w:sz w:val="21"/>
                      <w:szCs w:val="21"/>
                      <w:highlight w:val="none"/>
                    </w:rPr>
                    <w:t>/L，小于限值4</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0g/L。本项目</w:t>
                  </w:r>
                  <w:r>
                    <w:rPr>
                      <w:rFonts w:hint="eastAsia" w:cs="Times New Roman"/>
                      <w:color w:val="auto"/>
                      <w:sz w:val="21"/>
                      <w:szCs w:val="21"/>
                      <w:highlight w:val="none"/>
                      <w:lang w:val="en-US" w:eastAsia="zh-CN"/>
                    </w:rPr>
                    <w:t>水性漆VOCs</w:t>
                  </w:r>
                  <w:r>
                    <w:rPr>
                      <w:rFonts w:hint="default" w:ascii="Times New Roman" w:hAnsi="Times New Roman" w:cs="Times New Roman"/>
                      <w:color w:val="auto"/>
                      <w:sz w:val="21"/>
                      <w:szCs w:val="21"/>
                      <w:highlight w:val="none"/>
                    </w:rPr>
                    <w:t>最高含量为</w:t>
                  </w:r>
                  <w:r>
                    <w:rPr>
                      <w:rFonts w:hint="eastAsia" w:cs="Times New Roman"/>
                      <w:color w:val="auto"/>
                      <w:sz w:val="21"/>
                      <w:szCs w:val="21"/>
                      <w:highlight w:val="none"/>
                      <w:lang w:val="en-US" w:eastAsia="zh-CN"/>
                    </w:rPr>
                    <w:t>60</w:t>
                  </w:r>
                  <w:r>
                    <w:rPr>
                      <w:rFonts w:hint="default" w:ascii="Times New Roman" w:hAnsi="Times New Roman" w:cs="Times New Roman"/>
                      <w:color w:val="auto"/>
                      <w:sz w:val="21"/>
                      <w:szCs w:val="21"/>
                      <w:highlight w:val="none"/>
                    </w:rPr>
                    <w:t>g/L</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综上，本项目漆料均</w:t>
                  </w:r>
                  <w:r>
                    <w:rPr>
                      <w:rFonts w:hint="default" w:ascii="Times New Roman" w:hAnsi="Times New Roman" w:cs="Times New Roman"/>
                      <w:bCs/>
                      <w:color w:val="auto"/>
                      <w:sz w:val="21"/>
                      <w:szCs w:val="21"/>
                      <w:highlight w:val="none"/>
                    </w:rPr>
                    <w:t>满足</w:t>
                  </w:r>
                  <w:r>
                    <w:rPr>
                      <w:rFonts w:hint="default" w:ascii="Times New Roman" w:hAnsi="Times New Roman" w:cs="Times New Roman"/>
                      <w:color w:val="auto"/>
                      <w:sz w:val="21"/>
                      <w:szCs w:val="21"/>
                      <w:highlight w:val="none"/>
                    </w:rPr>
                    <w:t>《低挥发性有机化合物含量涂料产品</w:t>
                  </w:r>
                  <w:r>
                    <w:rPr>
                      <w:rFonts w:hint="default" w:ascii="Times New Roman" w:hAnsi="Times New Roman" w:cs="Times New Roman"/>
                      <w:color w:val="auto"/>
                      <w:sz w:val="21"/>
                      <w:szCs w:val="21"/>
                      <w:highlight w:val="none"/>
                    </w:rPr>
                    <w:t>技术要求》（GB/T 38597-2020）</w:t>
                  </w:r>
                  <w:r>
                    <w:rPr>
                      <w:rFonts w:hint="default" w:ascii="Times New Roman" w:hAnsi="Times New Roman" w:cs="Times New Roman"/>
                      <w:bCs/>
                      <w:color w:val="auto"/>
                      <w:sz w:val="21"/>
                      <w:szCs w:val="21"/>
                      <w:highlight w:val="none"/>
                    </w:rPr>
                    <w:t>要求。</w:t>
                  </w:r>
                </w:p>
              </w:tc>
              <w:tc>
                <w:tcPr>
                  <w:tcW w:w="64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符合</w:t>
                  </w:r>
                </w:p>
              </w:tc>
            </w:tr>
            <w:tr>
              <w:tblPrEx>
                <w:tblCellMar>
                  <w:top w:w="0" w:type="dxa"/>
                  <w:left w:w="108" w:type="dxa"/>
                  <w:bottom w:w="0" w:type="dxa"/>
                  <w:right w:w="108" w:type="dxa"/>
                </w:tblCellMar>
              </w:tblPrEx>
              <w:trPr>
                <w:trHeight w:val="900"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1.2</w:t>
                  </w:r>
                </w:p>
              </w:tc>
              <w:tc>
                <w:tcPr>
                  <w:tcW w:w="19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bidi="ar"/>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95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①本项目漆料桶装密闭储存，无敞口液面，调漆、喷漆、晾干等工序产生VOCs的工序均设置于“房中房”内，采用负压收集的方式将上述废气引至</w:t>
                  </w:r>
                  <w:r>
                    <w:rPr>
                      <w:rFonts w:hint="default" w:ascii="Times New Roman" w:hAnsi="Times New Roman" w:cs="Times New Roman" w:eastAsiaTheme="majorEastAsia"/>
                      <w:bCs/>
                      <w:color w:val="auto"/>
                      <w:sz w:val="21"/>
                      <w:szCs w:val="21"/>
                      <w:highlight w:val="none"/>
                    </w:rPr>
                    <w:t>“水帘+干式过滤</w:t>
                  </w:r>
                  <w:r>
                    <w:rPr>
                      <w:rFonts w:hint="eastAsia" w:cs="Times New Roman" w:eastAsiaTheme="majorEastAsia"/>
                      <w:bCs/>
                      <w:color w:val="auto"/>
                      <w:sz w:val="21"/>
                      <w:szCs w:val="21"/>
                      <w:highlight w:val="none"/>
                      <w:lang w:val="en-US" w:eastAsia="zh-CN"/>
                    </w:rPr>
                    <w:t>棉</w:t>
                  </w:r>
                  <w:r>
                    <w:rPr>
                      <w:rFonts w:hint="default" w:ascii="Times New Roman" w:hAnsi="Times New Roman" w:cs="Times New Roman" w:eastAsiaTheme="majorEastAsia"/>
                      <w:bCs/>
                      <w:color w:val="auto"/>
                      <w:sz w:val="21"/>
                      <w:szCs w:val="21"/>
                      <w:highlight w:val="none"/>
                    </w:rPr>
                    <w:t>+</w:t>
                  </w:r>
                  <w:r>
                    <w:rPr>
                      <w:rFonts w:hint="eastAsia" w:cs="Times New Roman" w:eastAsiaTheme="majorEastAsia"/>
                      <w:bCs/>
                      <w:color w:val="auto"/>
                      <w:sz w:val="21"/>
                      <w:szCs w:val="21"/>
                      <w:highlight w:val="none"/>
                      <w:lang w:eastAsia="zh-CN"/>
                    </w:rPr>
                    <w:t>活性炭吸附、脱附催化燃烧装置</w:t>
                  </w:r>
                  <w:r>
                    <w:rPr>
                      <w:rFonts w:hint="default" w:ascii="Times New Roman" w:hAnsi="Times New Roman" w:cs="Times New Roman" w:eastAsiaTheme="majorEastAsia"/>
                      <w:bCs/>
                      <w:color w:val="auto"/>
                      <w:sz w:val="21"/>
                      <w:szCs w:val="21"/>
                      <w:highlight w:val="none"/>
                    </w:rPr>
                    <w:t>”</w:t>
                  </w:r>
                  <w:r>
                    <w:rPr>
                      <w:rFonts w:hint="default" w:ascii="Times New Roman" w:hAnsi="Times New Roman" w:cs="Times New Roman"/>
                      <w:bCs/>
                      <w:color w:val="auto"/>
                      <w:sz w:val="21"/>
                      <w:szCs w:val="21"/>
                      <w:highlight w:val="none"/>
                    </w:rPr>
                    <w:t>净化处理，处理后的废气由15m高排气筒</w:t>
                  </w:r>
                  <w:r>
                    <w:rPr>
                      <w:rFonts w:hint="eastAsia" w:cs="Times New Roman"/>
                      <w:bCs/>
                      <w:color w:val="auto"/>
                      <w:sz w:val="21"/>
                      <w:szCs w:val="21"/>
                      <w:highlight w:val="none"/>
                      <w:lang w:val="en-US" w:eastAsia="zh-CN"/>
                    </w:rPr>
                    <w:t>P6</w:t>
                  </w:r>
                  <w:r>
                    <w:rPr>
                      <w:rFonts w:hint="default" w:ascii="Times New Roman" w:hAnsi="Times New Roman" w:cs="Times New Roman"/>
                      <w:bCs/>
                      <w:color w:val="auto"/>
                      <w:sz w:val="21"/>
                      <w:szCs w:val="21"/>
                      <w:highlight w:val="none"/>
                    </w:rPr>
                    <w:t>全部有组织排放。</w:t>
                  </w:r>
                </w:p>
                <w:p>
                  <w:pPr>
                    <w:keepNext w:val="0"/>
                    <w:keepLines w:val="0"/>
                    <w:pageBreakBefore w:val="0"/>
                    <w:widowControl w:val="0"/>
                    <w:kinsoku/>
                    <w:wordWrap/>
                    <w:overflowPunct/>
                    <w:topLinePunct w:val="0"/>
                    <w:bidi w:val="0"/>
                    <w:adjustRightInd w:val="0"/>
                    <w:snapToGrid/>
                    <w:spacing w:line="240" w:lineRule="auto"/>
                    <w:textAlignment w:val="auto"/>
                    <w:rPr>
                      <w:rFonts w:hint="default" w:ascii="Times New Roman" w:hAnsi="Times New Roman" w:cs="Times New Roman"/>
                      <w:bCs/>
                      <w:color w:val="auto"/>
                      <w:sz w:val="21"/>
                      <w:szCs w:val="21"/>
                      <w:highlight w:val="none"/>
                    </w:rPr>
                  </w:pPr>
                </w:p>
              </w:tc>
              <w:tc>
                <w:tcPr>
                  <w:tcW w:w="64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符合</w:t>
                  </w:r>
                </w:p>
              </w:tc>
            </w:tr>
            <w:tr>
              <w:tblPrEx>
                <w:tblCellMar>
                  <w:top w:w="0" w:type="dxa"/>
                  <w:left w:w="108" w:type="dxa"/>
                  <w:bottom w:w="0" w:type="dxa"/>
                  <w:right w:w="108" w:type="dxa"/>
                </w:tblCellMar>
              </w:tblPrEx>
              <w:trPr>
                <w:trHeight w:val="90"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1.3</w:t>
                  </w:r>
                </w:p>
              </w:tc>
              <w:tc>
                <w:tcPr>
                  <w:tcW w:w="19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bidi="ar"/>
                    </w:rPr>
                    <w:t>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采用催化燃烧工艺的，应满足《催化燃烧法工业有机废气治理工程技术规范》要求。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95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本项目采用的原辅材料符合国家有关低VOCs含量产品规定的要求；设计采用“水帘+干式过滤</w:t>
                  </w:r>
                  <w:r>
                    <w:rPr>
                      <w:rFonts w:hint="eastAsia" w:cs="Times New Roman"/>
                      <w:bCs/>
                      <w:color w:val="auto"/>
                      <w:sz w:val="21"/>
                      <w:szCs w:val="21"/>
                      <w:highlight w:val="none"/>
                      <w:lang w:val="en-US" w:eastAsia="zh-CN"/>
                    </w:rPr>
                    <w:t>棉</w:t>
                  </w:r>
                  <w:r>
                    <w:rPr>
                      <w:rFonts w:hint="default" w:ascii="Times New Roman" w:hAnsi="Times New Roman" w:cs="Times New Roman"/>
                      <w:bCs/>
                      <w:color w:val="auto"/>
                      <w:sz w:val="21"/>
                      <w:szCs w:val="21"/>
                      <w:highlight w:val="none"/>
                    </w:rPr>
                    <w:t>+</w:t>
                  </w:r>
                  <w:r>
                    <w:rPr>
                      <w:rFonts w:hint="eastAsia" w:cs="Times New Roman"/>
                      <w:bCs/>
                      <w:color w:val="auto"/>
                      <w:sz w:val="21"/>
                      <w:szCs w:val="21"/>
                      <w:highlight w:val="none"/>
                      <w:lang w:eastAsia="zh-CN"/>
                    </w:rPr>
                    <w:t>活性炭吸附、脱附催化燃烧装置</w:t>
                  </w:r>
                  <w:r>
                    <w:rPr>
                      <w:rFonts w:hint="default" w:ascii="Times New Roman" w:hAnsi="Times New Roman" w:cs="Times New Roman"/>
                      <w:bCs/>
                      <w:color w:val="auto"/>
                      <w:sz w:val="21"/>
                      <w:szCs w:val="21"/>
                      <w:highlight w:val="none"/>
                    </w:rPr>
                    <w:t>”处理调漆、喷漆、晾干等工序产生的有机废气，满足《催化燃烧法工业有机废气治理工程技术规范》；“水帘+干式过滤</w:t>
                  </w:r>
                  <w:r>
                    <w:rPr>
                      <w:rFonts w:hint="eastAsia" w:cs="Times New Roman"/>
                      <w:bCs/>
                      <w:color w:val="auto"/>
                      <w:sz w:val="21"/>
                      <w:szCs w:val="21"/>
                      <w:highlight w:val="none"/>
                      <w:lang w:val="en-US" w:eastAsia="zh-CN"/>
                    </w:rPr>
                    <w:t>棉</w:t>
                  </w:r>
                  <w:r>
                    <w:rPr>
                      <w:rFonts w:hint="default" w:ascii="Times New Roman" w:hAnsi="Times New Roman" w:cs="Times New Roman"/>
                      <w:bCs/>
                      <w:color w:val="auto"/>
                      <w:sz w:val="21"/>
                      <w:szCs w:val="21"/>
                      <w:highlight w:val="none"/>
                    </w:rPr>
                    <w:t>+</w:t>
                  </w:r>
                  <w:r>
                    <w:rPr>
                      <w:rFonts w:hint="eastAsia" w:cs="Times New Roman"/>
                      <w:bCs/>
                      <w:color w:val="auto"/>
                      <w:sz w:val="21"/>
                      <w:szCs w:val="21"/>
                      <w:highlight w:val="none"/>
                      <w:lang w:eastAsia="zh-CN"/>
                    </w:rPr>
                    <w:t>活性炭吸附、脱附催化燃烧装置</w:t>
                  </w:r>
                  <w:r>
                    <w:rPr>
                      <w:rFonts w:hint="default" w:ascii="Times New Roman" w:hAnsi="Times New Roman" w:cs="Times New Roman"/>
                      <w:bCs/>
                      <w:color w:val="auto"/>
                      <w:sz w:val="21"/>
                      <w:szCs w:val="21"/>
                      <w:highlight w:val="none"/>
                    </w:rPr>
                    <w:t>”综合净化效率可达82.45%以上，满足</w:t>
                  </w:r>
                  <w:r>
                    <w:rPr>
                      <w:rFonts w:hint="default" w:ascii="Times New Roman" w:hAnsi="Times New Roman" w:cs="Times New Roman" w:eastAsiaTheme="majorEastAsia"/>
                      <w:bCs/>
                      <w:color w:val="auto"/>
                      <w:sz w:val="21"/>
                      <w:szCs w:val="21"/>
                      <w:highlight w:val="none"/>
                    </w:rPr>
                    <w:t>“去除效率不低于80%”</w:t>
                  </w:r>
                  <w:r>
                    <w:rPr>
                      <w:rFonts w:hint="default" w:ascii="Times New Roman" w:hAnsi="Times New Roman" w:cs="Times New Roman"/>
                      <w:bCs/>
                      <w:color w:val="auto"/>
                      <w:sz w:val="21"/>
                      <w:szCs w:val="21"/>
                      <w:highlight w:val="none"/>
                    </w:rPr>
                    <w:t>的要求。</w:t>
                  </w:r>
                </w:p>
              </w:tc>
              <w:tc>
                <w:tcPr>
                  <w:tcW w:w="64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符合</w:t>
                  </w:r>
                </w:p>
              </w:tc>
            </w:tr>
            <w:tr>
              <w:tblPrEx>
                <w:tblCellMar>
                  <w:top w:w="0" w:type="dxa"/>
                  <w:left w:w="108" w:type="dxa"/>
                  <w:bottom w:w="0" w:type="dxa"/>
                  <w:right w:w="108" w:type="dxa"/>
                </w:tblCellMar>
              </w:tblPrEx>
              <w:trPr>
                <w:trHeight w:val="515"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zh-CN"/>
                    </w:rPr>
                    <w:t>《关于贯彻落实&lt;重点行业挥发性有机物综合治理方案&gt;工作的通知》（津污防气函[2019]7 号）</w:t>
                  </w:r>
                </w:p>
              </w:tc>
            </w:tr>
            <w:tr>
              <w:tblPrEx>
                <w:tblCellMar>
                  <w:top w:w="0" w:type="dxa"/>
                  <w:left w:w="108" w:type="dxa"/>
                  <w:bottom w:w="0" w:type="dxa"/>
                  <w:right w:w="108" w:type="dxa"/>
                </w:tblCellMar>
              </w:tblPrEx>
              <w:trPr>
                <w:trHeight w:val="90"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2.1</w:t>
                  </w:r>
                </w:p>
              </w:tc>
              <w:tc>
                <w:tcPr>
                  <w:tcW w:w="19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lang w:val="zh-CN"/>
                    </w:rPr>
                    <w:t>各区生态环境局逐一排查辖区 VOCs有组织排放源“双重控制”（指确保排放浓度稳定达标，去除效率不低于80%）</w:t>
                  </w:r>
                  <w:r>
                    <w:rPr>
                      <w:rFonts w:hint="eastAsia" w:cs="Times New Roman"/>
                      <w:color w:val="auto"/>
                      <w:sz w:val="21"/>
                      <w:szCs w:val="21"/>
                      <w:highlight w:val="none"/>
                      <w:shd w:val="clear" w:color="auto" w:fill="FFFFFF"/>
                      <w:lang w:val="zh-CN"/>
                    </w:rPr>
                    <w:t>。</w:t>
                  </w:r>
                </w:p>
              </w:tc>
              <w:tc>
                <w:tcPr>
                  <w:tcW w:w="195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zh-CN"/>
                    </w:rPr>
                    <w:t>本项目不属于双重控制项目，从严要求，采用</w:t>
                  </w:r>
                  <w:r>
                    <w:rPr>
                      <w:rFonts w:hint="default" w:ascii="Times New Roman" w:hAnsi="Times New Roman" w:cs="Times New Roman" w:eastAsiaTheme="minorEastAsia"/>
                      <w:color w:val="auto"/>
                      <w:sz w:val="21"/>
                      <w:szCs w:val="21"/>
                      <w:highlight w:val="none"/>
                      <w:lang w:val="zh-CN"/>
                    </w:rPr>
                    <w:t>“</w:t>
                  </w:r>
                  <w:r>
                    <w:rPr>
                      <w:rFonts w:hint="default" w:ascii="Times New Roman" w:hAnsi="Times New Roman" w:cs="Times New Roman" w:eastAsiaTheme="minorEastAsia"/>
                      <w:color w:val="auto"/>
                      <w:sz w:val="21"/>
                      <w:szCs w:val="21"/>
                      <w:highlight w:val="none"/>
                    </w:rPr>
                    <w:t>水帘+干式过滤</w:t>
                  </w:r>
                  <w:r>
                    <w:rPr>
                      <w:rFonts w:hint="eastAsia" w:cs="Times New Roman" w:eastAsiaTheme="minorEastAsia"/>
                      <w:color w:val="auto"/>
                      <w:sz w:val="21"/>
                      <w:szCs w:val="21"/>
                      <w:highlight w:val="none"/>
                      <w:lang w:val="en-US" w:eastAsia="zh-CN"/>
                    </w:rPr>
                    <w:t>棉</w:t>
                  </w:r>
                  <w:r>
                    <w:rPr>
                      <w:rFonts w:hint="default" w:ascii="Times New Roman" w:hAnsi="Times New Roman" w:cs="Times New Roman" w:eastAsiaTheme="minorEastAsia"/>
                      <w:color w:val="auto"/>
                      <w:sz w:val="21"/>
                      <w:szCs w:val="21"/>
                      <w:highlight w:val="none"/>
                    </w:rPr>
                    <w:t>+活性炭</w:t>
                  </w:r>
                  <w:r>
                    <w:rPr>
                      <w:rFonts w:hint="eastAsia" w:cs="Times New Roman" w:eastAsiaTheme="minorEastAsia"/>
                      <w:color w:val="auto"/>
                      <w:sz w:val="21"/>
                      <w:szCs w:val="21"/>
                      <w:highlight w:val="none"/>
                      <w:lang w:eastAsia="zh-CN"/>
                    </w:rPr>
                    <w:t>吸附脱附</w:t>
                  </w:r>
                  <w:r>
                    <w:rPr>
                      <w:rFonts w:hint="default" w:ascii="Times New Roman" w:hAnsi="Times New Roman" w:cs="Times New Roman" w:eastAsiaTheme="minorEastAsia"/>
                      <w:color w:val="auto"/>
                      <w:sz w:val="21"/>
                      <w:szCs w:val="21"/>
                      <w:highlight w:val="none"/>
                    </w:rPr>
                    <w:t>-催化燃烧</w:t>
                  </w:r>
                  <w:r>
                    <w:rPr>
                      <w:rFonts w:hint="default" w:ascii="Times New Roman" w:hAnsi="Times New Roman" w:cs="Times New Roman" w:eastAsiaTheme="minorEastAsia"/>
                      <w:color w:val="auto"/>
                      <w:sz w:val="21"/>
                      <w:szCs w:val="21"/>
                      <w:highlight w:val="none"/>
                      <w:lang w:val="zh-CN"/>
                    </w:rPr>
                    <w:t>”</w:t>
                  </w:r>
                  <w:r>
                    <w:rPr>
                      <w:rFonts w:hint="default" w:ascii="Times New Roman" w:hAnsi="Times New Roman" w:cs="Times New Roman"/>
                      <w:color w:val="auto"/>
                      <w:sz w:val="21"/>
                      <w:szCs w:val="21"/>
                      <w:highlight w:val="none"/>
                      <w:lang w:val="zh-CN"/>
                    </w:rPr>
                    <w:t>废气净化设施，</w:t>
                  </w:r>
                  <w:r>
                    <w:rPr>
                      <w:rFonts w:hint="default" w:ascii="Times New Roman" w:hAnsi="Times New Roman" w:cs="Times New Roman"/>
                      <w:color w:val="auto"/>
                      <w:sz w:val="21"/>
                      <w:szCs w:val="21"/>
                      <w:highlight w:val="none"/>
                    </w:rPr>
                    <w:t>活性炭吸附净化效率为85%，脱附催化燃烧净化效率为97%，</w:t>
                  </w:r>
                  <w:r>
                    <w:rPr>
                      <w:rFonts w:hint="default" w:ascii="Times New Roman" w:hAnsi="Times New Roman" w:cs="Times New Roman"/>
                      <w:bCs/>
                      <w:color w:val="auto"/>
                      <w:sz w:val="21"/>
                      <w:szCs w:val="21"/>
                      <w:highlight w:val="none"/>
                    </w:rPr>
                    <w:t>综合净化效率可达82.45%以上，满足</w:t>
                  </w:r>
                  <w:r>
                    <w:rPr>
                      <w:rFonts w:hint="default" w:ascii="Times New Roman" w:hAnsi="Times New Roman" w:cs="Times New Roman" w:eastAsiaTheme="majorEastAsia"/>
                      <w:bCs/>
                      <w:color w:val="auto"/>
                      <w:sz w:val="21"/>
                      <w:szCs w:val="21"/>
                      <w:highlight w:val="none"/>
                    </w:rPr>
                    <w:t>“</w:t>
                  </w:r>
                  <w:r>
                    <w:rPr>
                      <w:rFonts w:hint="default" w:ascii="Times New Roman" w:hAnsi="Times New Roman" w:cs="Times New Roman"/>
                      <w:bCs/>
                      <w:color w:val="auto"/>
                      <w:sz w:val="21"/>
                      <w:szCs w:val="21"/>
                      <w:highlight w:val="none"/>
                    </w:rPr>
                    <w:t>去除效率不低于80%</w:t>
                  </w:r>
                  <w:r>
                    <w:rPr>
                      <w:rFonts w:hint="default" w:ascii="Times New Roman" w:hAnsi="Times New Roman" w:cs="Times New Roman" w:eastAsiaTheme="majorEastAsia"/>
                      <w:bCs/>
                      <w:color w:val="auto"/>
                      <w:sz w:val="21"/>
                      <w:szCs w:val="21"/>
                      <w:highlight w:val="none"/>
                    </w:rPr>
                    <w:t>”</w:t>
                  </w:r>
                  <w:r>
                    <w:rPr>
                      <w:rFonts w:hint="default" w:ascii="Times New Roman" w:hAnsi="Times New Roman" w:cs="Times New Roman"/>
                      <w:bCs/>
                      <w:color w:val="auto"/>
                      <w:sz w:val="21"/>
                      <w:szCs w:val="21"/>
                      <w:highlight w:val="none"/>
                    </w:rPr>
                    <w:t>的要求。</w:t>
                  </w:r>
                </w:p>
              </w:tc>
              <w:tc>
                <w:tcPr>
                  <w:tcW w:w="64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符合</w:t>
                  </w:r>
                </w:p>
              </w:tc>
            </w:tr>
            <w:tr>
              <w:tblPrEx>
                <w:tblCellMar>
                  <w:top w:w="0" w:type="dxa"/>
                  <w:left w:w="108" w:type="dxa"/>
                  <w:bottom w:w="0" w:type="dxa"/>
                  <w:right w:w="108" w:type="dxa"/>
                </w:tblCellMar>
              </w:tblPrEx>
              <w:trPr>
                <w:trHeight w:val="900"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2.2</w:t>
                  </w:r>
                </w:p>
              </w:tc>
              <w:tc>
                <w:tcPr>
                  <w:tcW w:w="19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shd w:val="clear" w:color="auto" w:fill="FFFFFF"/>
                    </w:rPr>
                    <w:t xml:space="preserve">推进低（无）VOCs 含量原辅材料和 产品替代工作，汽车原厂涂料、木器涂料、工程机械涂料、工业防腐涂料即用状态下的VOCs 含量限值分别不高于580 克/升、600 克/升、550 克/ 升。 </w:t>
                  </w:r>
                </w:p>
              </w:tc>
              <w:tc>
                <w:tcPr>
                  <w:tcW w:w="195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本项目用漆属于工程机械防腐涂料，</w:t>
                  </w:r>
                  <w:r>
                    <w:rPr>
                      <w:rFonts w:hint="eastAsia" w:cs="Times New Roman"/>
                      <w:bCs/>
                      <w:color w:val="auto"/>
                      <w:sz w:val="21"/>
                      <w:szCs w:val="21"/>
                      <w:highlight w:val="none"/>
                      <w:lang w:val="en-US" w:eastAsia="zh-CN"/>
                    </w:rPr>
                    <w:t>油性漆</w:t>
                  </w:r>
                  <w:r>
                    <w:rPr>
                      <w:rFonts w:hint="default" w:ascii="Times New Roman" w:hAnsi="Times New Roman" w:cs="Times New Roman"/>
                      <w:bCs/>
                      <w:color w:val="auto"/>
                      <w:sz w:val="21"/>
                      <w:szCs w:val="21"/>
                      <w:highlight w:val="none"/>
                    </w:rPr>
                    <w:t>调配后的底漆VOC含量为</w:t>
                  </w:r>
                  <w:r>
                    <w:rPr>
                      <w:rFonts w:hint="eastAsia" w:cs="Times New Roman"/>
                      <w:bCs/>
                      <w:color w:val="auto"/>
                      <w:sz w:val="21"/>
                      <w:szCs w:val="21"/>
                      <w:highlight w:val="none"/>
                      <w:lang w:eastAsia="zh-CN"/>
                    </w:rPr>
                    <w:t>435g</w:t>
                  </w:r>
                  <w:r>
                    <w:rPr>
                      <w:rFonts w:hint="default" w:ascii="Times New Roman" w:hAnsi="Times New Roman" w:cs="Times New Roman"/>
                      <w:bCs/>
                      <w:color w:val="auto"/>
                      <w:sz w:val="21"/>
                      <w:szCs w:val="21"/>
                      <w:highlight w:val="none"/>
                    </w:rPr>
                    <w:t>/L，</w:t>
                  </w:r>
                  <w:r>
                    <w:rPr>
                      <w:rFonts w:hint="eastAsia" w:cs="Times New Roman"/>
                      <w:bCs/>
                      <w:color w:val="auto"/>
                      <w:sz w:val="21"/>
                      <w:szCs w:val="21"/>
                      <w:highlight w:val="none"/>
                      <w:lang w:val="en-US" w:eastAsia="zh-CN"/>
                    </w:rPr>
                    <w:t>面漆</w:t>
                  </w:r>
                  <w:r>
                    <w:rPr>
                      <w:rFonts w:hint="default" w:ascii="Times New Roman" w:hAnsi="Times New Roman" w:cs="Times New Roman"/>
                      <w:bCs/>
                      <w:color w:val="auto"/>
                      <w:sz w:val="21"/>
                      <w:szCs w:val="21"/>
                      <w:highlight w:val="none"/>
                    </w:rPr>
                    <w:t>VOC含量为</w:t>
                  </w:r>
                  <w:r>
                    <w:rPr>
                      <w:rFonts w:hint="eastAsia" w:cs="Times New Roman"/>
                      <w:bCs/>
                      <w:color w:val="auto"/>
                      <w:sz w:val="21"/>
                      <w:szCs w:val="21"/>
                      <w:highlight w:val="none"/>
                      <w:lang w:eastAsia="zh-CN"/>
                    </w:rPr>
                    <w:t>4</w:t>
                  </w:r>
                  <w:r>
                    <w:rPr>
                      <w:rFonts w:hint="eastAsia" w:cs="Times New Roman"/>
                      <w:bCs/>
                      <w:color w:val="auto"/>
                      <w:sz w:val="21"/>
                      <w:szCs w:val="21"/>
                      <w:highlight w:val="none"/>
                      <w:lang w:val="en-US" w:eastAsia="zh-CN"/>
                    </w:rPr>
                    <w:t>33</w:t>
                  </w:r>
                  <w:r>
                    <w:rPr>
                      <w:rFonts w:hint="eastAsia" w:cs="Times New Roman"/>
                      <w:bCs/>
                      <w:color w:val="auto"/>
                      <w:sz w:val="21"/>
                      <w:szCs w:val="21"/>
                      <w:highlight w:val="none"/>
                      <w:lang w:eastAsia="zh-CN"/>
                    </w:rPr>
                    <w:t>g</w:t>
                  </w:r>
                  <w:r>
                    <w:rPr>
                      <w:rFonts w:hint="default" w:ascii="Times New Roman" w:hAnsi="Times New Roman" w:cs="Times New Roman"/>
                      <w:bCs/>
                      <w:color w:val="auto"/>
                      <w:sz w:val="21"/>
                      <w:szCs w:val="21"/>
                      <w:highlight w:val="none"/>
                    </w:rPr>
                    <w:t>/L，</w:t>
                  </w:r>
                  <w:r>
                    <w:rPr>
                      <w:rFonts w:hint="default" w:ascii="Times New Roman" w:hAnsi="Times New Roman" w:cs="Times New Roman"/>
                      <w:color w:val="auto"/>
                      <w:sz w:val="21"/>
                      <w:szCs w:val="21"/>
                      <w:highlight w:val="none"/>
                    </w:rPr>
                    <w:t>本项目</w:t>
                  </w:r>
                  <w:r>
                    <w:rPr>
                      <w:rFonts w:hint="eastAsia" w:cs="Times New Roman"/>
                      <w:color w:val="auto"/>
                      <w:sz w:val="21"/>
                      <w:szCs w:val="21"/>
                      <w:highlight w:val="none"/>
                      <w:lang w:val="en-US" w:eastAsia="zh-CN"/>
                    </w:rPr>
                    <w:t>水性漆VOCs</w:t>
                  </w:r>
                  <w:r>
                    <w:rPr>
                      <w:rFonts w:hint="default" w:ascii="Times New Roman" w:hAnsi="Times New Roman" w:cs="Times New Roman"/>
                      <w:color w:val="auto"/>
                      <w:sz w:val="21"/>
                      <w:szCs w:val="21"/>
                      <w:highlight w:val="none"/>
                    </w:rPr>
                    <w:t>最高含量为</w:t>
                  </w:r>
                  <w:r>
                    <w:rPr>
                      <w:rFonts w:hint="eastAsia" w:cs="Times New Roman"/>
                      <w:color w:val="auto"/>
                      <w:sz w:val="21"/>
                      <w:szCs w:val="21"/>
                      <w:highlight w:val="none"/>
                      <w:lang w:val="en-US" w:eastAsia="zh-CN"/>
                    </w:rPr>
                    <w:t>60</w:t>
                  </w:r>
                  <w:r>
                    <w:rPr>
                      <w:rFonts w:hint="default" w:ascii="Times New Roman" w:hAnsi="Times New Roman" w:cs="Times New Roman"/>
                      <w:color w:val="auto"/>
                      <w:sz w:val="21"/>
                      <w:szCs w:val="21"/>
                      <w:highlight w:val="none"/>
                    </w:rPr>
                    <w:t>g/L</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bCs/>
                      <w:color w:val="auto"/>
                      <w:sz w:val="21"/>
                      <w:szCs w:val="21"/>
                      <w:highlight w:val="none"/>
                    </w:rPr>
                    <w:t>均小于限值 550 克/升。</w:t>
                  </w:r>
                </w:p>
              </w:tc>
              <w:tc>
                <w:tcPr>
                  <w:tcW w:w="64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符合</w:t>
                  </w:r>
                </w:p>
              </w:tc>
            </w:tr>
            <w:tr>
              <w:tblPrEx>
                <w:tblCellMar>
                  <w:top w:w="0" w:type="dxa"/>
                  <w:left w:w="108" w:type="dxa"/>
                  <w:bottom w:w="0" w:type="dxa"/>
                  <w:right w:w="108" w:type="dxa"/>
                </w:tblCellMar>
              </w:tblPrEx>
              <w:trPr>
                <w:trHeight w:val="274"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color w:val="auto"/>
                      <w:sz w:val="21"/>
                      <w:szCs w:val="21"/>
                      <w:highlight w:val="none"/>
                      <w:lang w:val="en-GB"/>
                    </w:rPr>
                  </w:pPr>
                  <w:r>
                    <w:rPr>
                      <w:rFonts w:hint="default" w:ascii="Times New Roman" w:hAnsi="Times New Roman" w:cs="Times New Roman"/>
                      <w:bCs/>
                      <w:color w:val="auto"/>
                      <w:sz w:val="21"/>
                      <w:szCs w:val="21"/>
                      <w:highlight w:val="none"/>
                    </w:rPr>
                    <w:t>《天津市人民政府办公厅关于印发天津市生态环境保护“十四五”规划 的通知》（津政办发</w:t>
                  </w:r>
                  <w:r>
                    <w:rPr>
                      <w:rFonts w:hint="eastAsia"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2022</w:t>
                  </w:r>
                  <w:r>
                    <w:rPr>
                      <w:rFonts w:hint="eastAsia" w:cs="Times New Roman"/>
                      <w:bCs/>
                      <w:color w:val="auto"/>
                      <w:sz w:val="21"/>
                      <w:szCs w:val="21"/>
                      <w:highlight w:val="none"/>
                      <w:lang w:eastAsia="zh-CN"/>
                    </w:rPr>
                    <w:t>〕</w:t>
                  </w:r>
                  <w:r>
                    <w:rPr>
                      <w:rFonts w:hint="default" w:ascii="Times New Roman" w:hAnsi="Times New Roman" w:cs="Times New Roman"/>
                      <w:bCs/>
                      <w:color w:val="auto"/>
                      <w:sz w:val="21"/>
                      <w:szCs w:val="21"/>
                      <w:highlight w:val="none"/>
                    </w:rPr>
                    <w:t>2号）</w:t>
                  </w:r>
                </w:p>
              </w:tc>
            </w:tr>
            <w:tr>
              <w:tblPrEx>
                <w:tblCellMar>
                  <w:top w:w="0" w:type="dxa"/>
                  <w:left w:w="108" w:type="dxa"/>
                  <w:bottom w:w="0" w:type="dxa"/>
                  <w:right w:w="108" w:type="dxa"/>
                </w:tblCellMar>
              </w:tblPrEx>
              <w:trPr>
                <w:trHeight w:val="274"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3.1</w:t>
                  </w:r>
                </w:p>
              </w:tc>
              <w:tc>
                <w:tcPr>
                  <w:tcW w:w="19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坚持源头防控，综合施策，强化PM</w:t>
                  </w:r>
                  <w:r>
                    <w:rPr>
                      <w:rFonts w:hint="default" w:ascii="Times New Roman" w:hAnsi="Times New Roman" w:cs="Times New Roman"/>
                      <w:color w:val="auto"/>
                      <w:sz w:val="21"/>
                      <w:szCs w:val="21"/>
                      <w:highlight w:val="none"/>
                      <w:vertAlign w:val="subscript"/>
                      <w:lang w:val="zh-CN"/>
                    </w:rPr>
                    <w:t>2.5</w:t>
                  </w:r>
                  <w:r>
                    <w:rPr>
                      <w:rFonts w:hint="default" w:ascii="Times New Roman" w:hAnsi="Times New Roman" w:cs="Times New Roman"/>
                      <w:color w:val="auto"/>
                      <w:sz w:val="21"/>
                      <w:szCs w:val="21"/>
                      <w:highlight w:val="none"/>
                      <w:lang w:val="zh-CN"/>
                    </w:rPr>
                    <w:t>和O</w:t>
                  </w:r>
                  <w:r>
                    <w:rPr>
                      <w:rFonts w:hint="default" w:ascii="Times New Roman" w:hAnsi="Times New Roman" w:cs="Times New Roman"/>
                      <w:color w:val="auto"/>
                      <w:sz w:val="21"/>
                      <w:szCs w:val="21"/>
                      <w:highlight w:val="none"/>
                      <w:vertAlign w:val="subscript"/>
                      <w:lang w:val="zh-CN"/>
                    </w:rPr>
                    <w:t>3</w:t>
                  </w:r>
                  <w:r>
                    <w:rPr>
                      <w:rFonts w:hint="default" w:ascii="Times New Roman" w:hAnsi="Times New Roman" w:cs="Times New Roman"/>
                      <w:color w:val="auto"/>
                      <w:sz w:val="21"/>
                      <w:szCs w:val="21"/>
                      <w:highlight w:val="none"/>
                      <w:lang w:val="zh-CN"/>
                    </w:rPr>
                    <w:t>协同治理、多污染物协同治理、区域协同治理，深化燃煤源、工业源、移动源、面源污染治理，持续改善大气环境质量，基本消除重污染天气。</w:t>
                  </w:r>
                </w:p>
              </w:tc>
              <w:tc>
                <w:tcPr>
                  <w:tcW w:w="195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本项目</w:t>
                  </w:r>
                  <w:r>
                    <w:rPr>
                      <w:rFonts w:hint="eastAsia" w:cs="Times New Roman"/>
                      <w:color w:val="auto"/>
                      <w:sz w:val="21"/>
                      <w:szCs w:val="21"/>
                      <w:highlight w:val="none"/>
                      <w:lang w:val="en-US" w:eastAsia="zh-CN"/>
                    </w:rPr>
                    <w:t>火焰切割、焊接、打磨、抛丸工序会产生颗粒物，本项目对上述污染物进行协同治理。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火焰切割工序产生的颗粒物</w:t>
                  </w:r>
                  <w:r>
                    <w:rPr>
                      <w:rFonts w:hint="default" w:ascii="Times New Roman" w:hAnsi="Times New Roman" w:cs="Times New Roman"/>
                      <w:color w:val="auto"/>
                      <w:sz w:val="21"/>
                      <w:szCs w:val="21"/>
                      <w:highlight w:val="none"/>
                    </w:rPr>
                    <w:t>经</w:t>
                  </w:r>
                  <w:r>
                    <w:rPr>
                      <w:rFonts w:hint="eastAsia" w:cs="Times New Roman"/>
                      <w:color w:val="auto"/>
                      <w:sz w:val="21"/>
                      <w:szCs w:val="21"/>
                      <w:highlight w:val="none"/>
                      <w:lang w:val="en-US" w:eastAsia="zh-CN"/>
                    </w:rPr>
                    <w:t>火焰切割机切割枪头处自带的集气罩进行收集，</w:t>
                  </w:r>
                  <w:r>
                    <w:rPr>
                      <w:rFonts w:hint="default" w:ascii="Times New Roman" w:hAnsi="Times New Roman" w:cs="Times New Roman"/>
                      <w:color w:val="auto"/>
                      <w:sz w:val="21"/>
                      <w:szCs w:val="21"/>
                      <w:highlight w:val="none"/>
                    </w:rPr>
                    <w:t>收集后</w:t>
                  </w:r>
                  <w:r>
                    <w:rPr>
                      <w:rFonts w:hint="eastAsia" w:cs="Times New Roman"/>
                      <w:color w:val="auto"/>
                      <w:sz w:val="21"/>
                      <w:szCs w:val="21"/>
                      <w:highlight w:val="none"/>
                      <w:lang w:val="en-US" w:eastAsia="zh-CN"/>
                    </w:rPr>
                    <w:t>的废气</w:t>
                  </w:r>
                  <w:r>
                    <w:rPr>
                      <w:rFonts w:hint="default" w:ascii="Times New Roman" w:hAnsi="Times New Roman" w:cs="Times New Roman"/>
                      <w:color w:val="auto"/>
                      <w:sz w:val="21"/>
                      <w:szCs w:val="21"/>
                      <w:highlight w:val="none"/>
                    </w:rPr>
                    <w:t>通过</w:t>
                  </w:r>
                  <w:r>
                    <w:rPr>
                      <w:rFonts w:hint="eastAsia" w:cs="Times New Roman"/>
                      <w:color w:val="auto"/>
                      <w:sz w:val="21"/>
                      <w:szCs w:val="21"/>
                      <w:highlight w:val="none"/>
                      <w:lang w:val="en-US" w:eastAsia="zh-CN"/>
                    </w:rPr>
                    <w:t>布袋除尘器进行处理。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焊接工序产生的颗粒物经万向集气罩进行收集，收集后通过布袋除尘器进行处理。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sz w:val="21"/>
                      <w:szCs w:val="21"/>
                      <w:highlight w:val="none"/>
                      <w:lang w:val="en-US" w:eastAsia="zh-CN"/>
                    </w:rPr>
                  </w:pPr>
                  <w:r>
                    <w:rPr>
                      <w:rFonts w:hint="eastAsia" w:cs="Times New Roman"/>
                      <w:color w:val="auto"/>
                      <w:sz w:val="21"/>
                      <w:szCs w:val="21"/>
                      <w:highlight w:val="none"/>
                      <w:lang w:val="en-US" w:eastAsia="zh-CN"/>
                    </w:rPr>
                    <w:t>打磨工序产生的颗粒物经万向集气罩进行收集，收集后通过布袋除尘器进行处理。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抛丸工序产生的颗粒物经抛丸机自带布袋除尘器进行处理。通过上述措施减少颗粒物排放，有利于改善大气环境质量。</w:t>
                  </w:r>
                </w:p>
              </w:tc>
              <w:tc>
                <w:tcPr>
                  <w:tcW w:w="64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highlight w:val="none"/>
                      <w:lang w:val="en-GB"/>
                    </w:rPr>
                  </w:pPr>
                  <w:r>
                    <w:rPr>
                      <w:rFonts w:hint="default" w:ascii="Times New Roman" w:hAnsi="Times New Roman" w:cs="Times New Roman"/>
                      <w:color w:val="auto"/>
                      <w:sz w:val="21"/>
                      <w:szCs w:val="21"/>
                      <w:highlight w:val="none"/>
                    </w:rPr>
                    <w:t>符合</w:t>
                  </w:r>
                </w:p>
              </w:tc>
            </w:tr>
            <w:tr>
              <w:tblPrEx>
                <w:tblCellMar>
                  <w:top w:w="0" w:type="dxa"/>
                  <w:left w:w="108" w:type="dxa"/>
                  <w:bottom w:w="0" w:type="dxa"/>
                  <w:right w:w="108" w:type="dxa"/>
                </w:tblCellMar>
              </w:tblPrEx>
              <w:trPr>
                <w:trHeight w:val="274"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rPr>
                    <w:t>《关于印发天津市深入打好蓝天、碧水、净土 三个保卫战行动计划的通知》（津污防攻坚指〔2022〕2号）</w:t>
                  </w:r>
                </w:p>
              </w:tc>
            </w:tr>
            <w:tr>
              <w:tblPrEx>
                <w:tblCellMar>
                  <w:top w:w="0" w:type="dxa"/>
                  <w:left w:w="108" w:type="dxa"/>
                  <w:bottom w:w="0" w:type="dxa"/>
                  <w:right w:w="108" w:type="dxa"/>
                </w:tblCellMar>
              </w:tblPrEx>
              <w:trPr>
                <w:trHeight w:val="1817"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4.1</w:t>
                  </w:r>
                </w:p>
              </w:tc>
              <w:tc>
                <w:tcPr>
                  <w:tcW w:w="19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color w:val="auto"/>
                      <w:sz w:val="21"/>
                      <w:szCs w:val="21"/>
                      <w:highlight w:val="none"/>
                      <w:lang w:val="zh-CN"/>
                    </w:rPr>
                    <w:t>工业涂装、包装印刷、电子等行业企业要制定工作计划，加大低 VOCs 含量原辅材料的源头替代力度。</w:t>
                  </w:r>
                </w:p>
              </w:tc>
              <w:tc>
                <w:tcPr>
                  <w:tcW w:w="195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textAlignment w:val="auto"/>
                    <w:rPr>
                      <w:rFonts w:hint="default" w:ascii="Times New Roman" w:hAnsi="Times New Roman" w:cs="Times New Roman"/>
                      <w:color w:val="auto"/>
                      <w:sz w:val="21"/>
                      <w:szCs w:val="21"/>
                      <w:highlight w:val="none"/>
                      <w:shd w:val="clear" w:color="auto" w:fill="FFFFFF"/>
                    </w:rPr>
                  </w:pPr>
                  <w:r>
                    <w:rPr>
                      <w:rFonts w:hint="default" w:ascii="Times New Roman" w:hAnsi="Times New Roman" w:cs="Times New Roman"/>
                      <w:bCs/>
                      <w:color w:val="auto"/>
                      <w:sz w:val="21"/>
                      <w:szCs w:val="21"/>
                      <w:highlight w:val="none"/>
                    </w:rPr>
                    <w:t>本项目使用的</w:t>
                  </w:r>
                  <w:r>
                    <w:rPr>
                      <w:rFonts w:hint="eastAsia" w:cs="Times New Roman"/>
                      <w:bCs/>
                      <w:color w:val="auto"/>
                      <w:sz w:val="21"/>
                      <w:szCs w:val="21"/>
                      <w:highlight w:val="none"/>
                      <w:lang w:val="en-US" w:eastAsia="zh-CN"/>
                    </w:rPr>
                    <w:t>漆料为水性漆和油性漆</w:t>
                  </w:r>
                  <w:r>
                    <w:rPr>
                      <w:rFonts w:hint="eastAsia" w:cs="Times New Roman"/>
                      <w:bCs/>
                      <w:color w:val="auto"/>
                      <w:sz w:val="21"/>
                      <w:szCs w:val="21"/>
                      <w:highlight w:val="none"/>
                      <w:lang w:eastAsia="zh-CN"/>
                    </w:rPr>
                    <w:t>。</w:t>
                  </w:r>
                  <w:r>
                    <w:rPr>
                      <w:rFonts w:hint="default" w:ascii="Times New Roman" w:hAnsi="Times New Roman" w:cs="Times New Roman"/>
                      <w:color w:val="auto"/>
                      <w:sz w:val="21"/>
                      <w:szCs w:val="21"/>
                      <w:highlight w:val="none"/>
                    </w:rPr>
                    <w:t>根据报告后续内容分析，本项目用漆属于工业防护涂料中建筑物和构筑物防护涂料（建筑用墙面涂料除外），金属基材防腐涂料，调配后的底漆VOC含量为</w:t>
                  </w:r>
                  <w:r>
                    <w:rPr>
                      <w:rFonts w:hint="eastAsia" w:cs="Times New Roman"/>
                      <w:color w:val="auto"/>
                      <w:sz w:val="21"/>
                      <w:szCs w:val="21"/>
                      <w:highlight w:val="none"/>
                      <w:lang w:eastAsia="zh-CN"/>
                    </w:rPr>
                    <w:t>435g</w:t>
                  </w:r>
                  <w:r>
                    <w:rPr>
                      <w:rFonts w:hint="default" w:ascii="Times New Roman" w:hAnsi="Times New Roman" w:cs="Times New Roman"/>
                      <w:color w:val="auto"/>
                      <w:sz w:val="21"/>
                      <w:szCs w:val="21"/>
                      <w:highlight w:val="none"/>
                    </w:rPr>
                    <w:t>/L，小于限值450 克/升；</w:t>
                  </w:r>
                  <w:r>
                    <w:rPr>
                      <w:rFonts w:hint="eastAsia" w:cs="Times New Roman"/>
                      <w:color w:val="auto"/>
                      <w:sz w:val="21"/>
                      <w:szCs w:val="21"/>
                      <w:highlight w:val="none"/>
                      <w:lang w:val="en-US" w:eastAsia="zh-CN"/>
                    </w:rPr>
                    <w:t>面漆</w:t>
                  </w:r>
                  <w:r>
                    <w:rPr>
                      <w:rFonts w:hint="default" w:ascii="Times New Roman" w:hAnsi="Times New Roman" w:cs="Times New Roman"/>
                      <w:color w:val="auto"/>
                      <w:sz w:val="21"/>
                      <w:szCs w:val="21"/>
                      <w:highlight w:val="none"/>
                    </w:rPr>
                    <w:t>VOC含量为</w:t>
                  </w:r>
                  <w:r>
                    <w:rPr>
                      <w:rFonts w:hint="eastAsia" w:cs="Times New Roman"/>
                      <w:color w:val="auto"/>
                      <w:sz w:val="21"/>
                      <w:szCs w:val="21"/>
                      <w:highlight w:val="none"/>
                      <w:lang w:eastAsia="zh-CN"/>
                    </w:rPr>
                    <w:t>4</w:t>
                  </w:r>
                  <w:r>
                    <w:rPr>
                      <w:rFonts w:hint="eastAsia" w:cs="Times New Roman"/>
                      <w:color w:val="auto"/>
                      <w:sz w:val="21"/>
                      <w:szCs w:val="21"/>
                      <w:highlight w:val="none"/>
                      <w:lang w:val="en-US" w:eastAsia="zh-CN"/>
                    </w:rPr>
                    <w:t>33</w:t>
                  </w:r>
                  <w:r>
                    <w:rPr>
                      <w:rFonts w:hint="eastAsia" w:cs="Times New Roman"/>
                      <w:color w:val="auto"/>
                      <w:sz w:val="21"/>
                      <w:szCs w:val="21"/>
                      <w:highlight w:val="none"/>
                      <w:lang w:eastAsia="zh-CN"/>
                    </w:rPr>
                    <w:t>g</w:t>
                  </w:r>
                  <w:r>
                    <w:rPr>
                      <w:rFonts w:hint="default" w:ascii="Times New Roman" w:hAnsi="Times New Roman" w:cs="Times New Roman"/>
                      <w:color w:val="auto"/>
                      <w:sz w:val="21"/>
                      <w:szCs w:val="21"/>
                      <w:highlight w:val="none"/>
                    </w:rPr>
                    <w:t>/L，小于限值4</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0g/L。本项目</w:t>
                  </w:r>
                  <w:r>
                    <w:rPr>
                      <w:rFonts w:hint="eastAsia" w:cs="Times New Roman"/>
                      <w:color w:val="auto"/>
                      <w:sz w:val="21"/>
                      <w:szCs w:val="21"/>
                      <w:highlight w:val="none"/>
                      <w:lang w:val="en-US" w:eastAsia="zh-CN"/>
                    </w:rPr>
                    <w:t>水性漆VOCs</w:t>
                  </w:r>
                  <w:r>
                    <w:rPr>
                      <w:rFonts w:hint="default" w:ascii="Times New Roman" w:hAnsi="Times New Roman" w:cs="Times New Roman"/>
                      <w:color w:val="auto"/>
                      <w:sz w:val="21"/>
                      <w:szCs w:val="21"/>
                      <w:highlight w:val="none"/>
                    </w:rPr>
                    <w:t>最高含量为</w:t>
                  </w:r>
                  <w:r>
                    <w:rPr>
                      <w:rFonts w:hint="eastAsia" w:cs="Times New Roman"/>
                      <w:color w:val="auto"/>
                      <w:sz w:val="21"/>
                      <w:szCs w:val="21"/>
                      <w:highlight w:val="none"/>
                      <w:lang w:val="en-US" w:eastAsia="zh-CN"/>
                    </w:rPr>
                    <w:t>60</w:t>
                  </w:r>
                  <w:r>
                    <w:rPr>
                      <w:rFonts w:hint="default" w:ascii="Times New Roman" w:hAnsi="Times New Roman" w:cs="Times New Roman"/>
                      <w:color w:val="auto"/>
                      <w:sz w:val="21"/>
                      <w:szCs w:val="21"/>
                      <w:highlight w:val="none"/>
                    </w:rPr>
                    <w:t>g/L</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综上，本项目漆料均</w:t>
                  </w:r>
                  <w:r>
                    <w:rPr>
                      <w:rFonts w:hint="default" w:ascii="Times New Roman" w:hAnsi="Times New Roman" w:cs="Times New Roman"/>
                      <w:bCs/>
                      <w:color w:val="auto"/>
                      <w:sz w:val="21"/>
                      <w:szCs w:val="21"/>
                      <w:highlight w:val="none"/>
                    </w:rPr>
                    <w:t>满足</w:t>
                  </w:r>
                  <w:r>
                    <w:rPr>
                      <w:rFonts w:hint="default" w:ascii="Times New Roman" w:hAnsi="Times New Roman" w:cs="Times New Roman"/>
                      <w:color w:val="auto"/>
                      <w:sz w:val="21"/>
                      <w:szCs w:val="21"/>
                      <w:highlight w:val="none"/>
                    </w:rPr>
                    <w:t>《低挥发性有机化合物含量涂料产品</w:t>
                  </w:r>
                  <w:r>
                    <w:rPr>
                      <w:rFonts w:hint="default" w:ascii="Times New Roman" w:hAnsi="Times New Roman" w:cs="Times New Roman"/>
                      <w:color w:val="auto"/>
                      <w:sz w:val="21"/>
                      <w:szCs w:val="21"/>
                      <w:highlight w:val="none"/>
                    </w:rPr>
                    <w:t>技术要求》（GB/T 38597-2020）</w:t>
                  </w:r>
                  <w:r>
                    <w:rPr>
                      <w:rFonts w:hint="default" w:ascii="Times New Roman" w:hAnsi="Times New Roman" w:cs="Times New Roman"/>
                      <w:bCs/>
                      <w:color w:val="auto"/>
                      <w:sz w:val="21"/>
                      <w:szCs w:val="21"/>
                      <w:highlight w:val="none"/>
                    </w:rPr>
                    <w:t>要求。</w:t>
                  </w:r>
                  <w:r>
                    <w:rPr>
                      <w:rFonts w:hint="default" w:ascii="Times New Roman" w:hAnsi="Times New Roman" w:cs="Times New Roman"/>
                      <w:color w:val="auto"/>
                      <w:sz w:val="21"/>
                      <w:szCs w:val="21"/>
                      <w:highlight w:val="none"/>
                      <w:shd w:val="clear" w:color="auto" w:fill="FFFFFF"/>
                    </w:rPr>
                    <w:t xml:space="preserve"> </w:t>
                  </w:r>
                </w:p>
              </w:tc>
              <w:tc>
                <w:tcPr>
                  <w:tcW w:w="64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color w:val="auto"/>
                      <w:sz w:val="21"/>
                      <w:szCs w:val="21"/>
                      <w:highlight w:val="none"/>
                      <w:lang w:bidi="ar"/>
                    </w:rPr>
                  </w:pPr>
                  <w:r>
                    <w:rPr>
                      <w:rFonts w:hint="default" w:ascii="Times New Roman" w:hAnsi="Times New Roman" w:cs="Times New Roman"/>
                      <w:color w:val="auto"/>
                      <w:sz w:val="21"/>
                      <w:szCs w:val="21"/>
                      <w:highlight w:val="none"/>
                    </w:rPr>
                    <w:t>符合</w:t>
                  </w:r>
                </w:p>
              </w:tc>
            </w:tr>
            <w:tr>
              <w:tblPrEx>
                <w:tblCellMar>
                  <w:top w:w="0" w:type="dxa"/>
                  <w:left w:w="108" w:type="dxa"/>
                  <w:bottom w:w="0" w:type="dxa"/>
                  <w:right w:w="108" w:type="dxa"/>
                </w:tblCellMar>
              </w:tblPrEx>
              <w:trPr>
                <w:trHeight w:val="589"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与《天津市深入打好污染防治攻坚战2023年工作计划》（津污防攻坚指〔2023〕1 号）</w:t>
                  </w:r>
                </w:p>
              </w:tc>
            </w:tr>
            <w:tr>
              <w:tblPrEx>
                <w:tblCellMar>
                  <w:top w:w="0" w:type="dxa"/>
                  <w:left w:w="108" w:type="dxa"/>
                  <w:bottom w:w="0" w:type="dxa"/>
                  <w:right w:w="108" w:type="dxa"/>
                </w:tblCellMar>
              </w:tblPrEx>
              <w:trPr>
                <w:trHeight w:val="472"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5.1</w:t>
                  </w:r>
                </w:p>
              </w:tc>
              <w:tc>
                <w:tcPr>
                  <w:tcW w:w="19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zh-CN"/>
                    </w:rPr>
                    <w:t>坚决打好群众关心的突出环境问题整治攻坚战。强化扬尘污染管控。开展扬尘专项治理行动，加强施工工程“六个百分之百”控尘措施监管。</w:t>
                  </w:r>
                </w:p>
              </w:tc>
              <w:tc>
                <w:tcPr>
                  <w:tcW w:w="195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本项目施工阶段严格落实 </w:t>
                  </w:r>
                  <w:r>
                    <w:rPr>
                      <w:rFonts w:hint="default" w:ascii="Times New Roman" w:hAnsi="Times New Roman" w:cs="Times New Roman" w:eastAsiaTheme="majorEastAsia"/>
                      <w:bCs/>
                      <w:color w:val="auto"/>
                      <w:sz w:val="21"/>
                      <w:szCs w:val="21"/>
                      <w:highlight w:val="none"/>
                    </w:rPr>
                    <w:t>“六个百分之百”</w:t>
                  </w:r>
                  <w:r>
                    <w:rPr>
                      <w:rFonts w:hint="default" w:ascii="Times New Roman" w:hAnsi="Times New Roman" w:cs="Times New Roman"/>
                      <w:bCs/>
                      <w:color w:val="auto"/>
                      <w:sz w:val="21"/>
                      <w:szCs w:val="21"/>
                      <w:highlight w:val="none"/>
                    </w:rPr>
                    <w:t>管控要求以减少扬尘对环境空气的影响。</w:t>
                  </w:r>
                </w:p>
              </w:tc>
              <w:tc>
                <w:tcPr>
                  <w:tcW w:w="64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符合</w:t>
                  </w:r>
                </w:p>
              </w:tc>
            </w:tr>
            <w:tr>
              <w:trPr>
                <w:trHeight w:val="1214"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5.2</w:t>
                  </w:r>
                </w:p>
              </w:tc>
              <w:tc>
                <w:tcPr>
                  <w:tcW w:w="19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zh-CN"/>
                    </w:rPr>
                    <w:t>加强噪声污染管控。制定全市“十四五”噪声污染防治行动计划及各区工作方案，加强工业企业、建筑施工、社会生活及交通等重点领域噪声污染防治。</w:t>
                  </w:r>
                </w:p>
              </w:tc>
              <w:tc>
                <w:tcPr>
                  <w:tcW w:w="195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采取加装减振垫、选用低噪声设备、建筑隔声、风机进出风管道接口采用软管相连</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风机加装隔声罩</w:t>
                  </w:r>
                  <w:r>
                    <w:rPr>
                      <w:rFonts w:hint="default" w:ascii="Times New Roman" w:hAnsi="Times New Roman" w:cs="Times New Roman"/>
                      <w:bCs/>
                      <w:color w:val="auto"/>
                      <w:sz w:val="21"/>
                      <w:szCs w:val="21"/>
                      <w:highlight w:val="none"/>
                    </w:rPr>
                    <w:t>等措施。</w:t>
                  </w:r>
                </w:p>
              </w:tc>
              <w:tc>
                <w:tcPr>
                  <w:tcW w:w="64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符合</w:t>
                  </w:r>
                </w:p>
              </w:tc>
            </w:tr>
            <w:tr>
              <w:tblPrEx>
                <w:tblCellMar>
                  <w:top w:w="0" w:type="dxa"/>
                  <w:left w:w="108" w:type="dxa"/>
                  <w:bottom w:w="0" w:type="dxa"/>
                  <w:right w:w="108" w:type="dxa"/>
                </w:tblCellMar>
              </w:tblPrEx>
              <w:trPr>
                <w:trHeight w:val="1214"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5.3</w:t>
                  </w:r>
                </w:p>
              </w:tc>
              <w:tc>
                <w:tcPr>
                  <w:tcW w:w="194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cs="Times New Roman"/>
                      <w:bCs/>
                      <w:color w:val="auto"/>
                      <w:sz w:val="21"/>
                      <w:szCs w:val="21"/>
                      <w:highlight w:val="none"/>
                      <w:lang w:val="zh-CN"/>
                    </w:rPr>
                  </w:pPr>
                  <w:r>
                    <w:rPr>
                      <w:rFonts w:hint="default" w:ascii="Times New Roman" w:hAnsi="Times New Roman" w:cs="Times New Roman"/>
                      <w:bCs/>
                      <w:color w:val="auto"/>
                      <w:sz w:val="21"/>
                      <w:szCs w:val="21"/>
                      <w:highlight w:val="none"/>
                      <w:lang w:val="zh-CN"/>
                    </w:rPr>
                    <w:t>强化VOCs全流程、全环节综合治理。完成橡胶、油墨、其他化工行业、汽车及其零配件行业企业“一企一策”方案制定。推进低 VOCs 含量原辅材料源头替代，推动涂料、油墨等相关生产企业加快产品升级转型。实施重点行业 VOCs 治理设施综合提升改造、简易低效治理设施清理整治，以及无组织排放环节综合整治。</w:t>
                  </w:r>
                </w:p>
              </w:tc>
              <w:tc>
                <w:tcPr>
                  <w:tcW w:w="195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cs="Times New Roman"/>
                      <w:bCs/>
                      <w:color w:val="auto"/>
                      <w:sz w:val="21"/>
                      <w:szCs w:val="21"/>
                      <w:highlight w:val="none"/>
                      <w:lang w:val="zh-CN"/>
                    </w:rPr>
                  </w:pPr>
                  <w:r>
                    <w:rPr>
                      <w:rFonts w:hint="default" w:ascii="Times New Roman" w:hAnsi="Times New Roman" w:cs="Times New Roman"/>
                      <w:bCs/>
                      <w:color w:val="auto"/>
                      <w:sz w:val="21"/>
                      <w:szCs w:val="21"/>
                      <w:highlight w:val="none"/>
                    </w:rPr>
                    <w:t>本项目所用</w:t>
                  </w:r>
                  <w:r>
                    <w:rPr>
                      <w:rFonts w:hint="eastAsia" w:cs="Times New Roman"/>
                      <w:bCs/>
                      <w:color w:val="auto"/>
                      <w:sz w:val="21"/>
                      <w:szCs w:val="21"/>
                      <w:highlight w:val="none"/>
                      <w:lang w:val="en-US" w:eastAsia="zh-CN"/>
                    </w:rPr>
                    <w:t>漆料</w:t>
                  </w:r>
                  <w:r>
                    <w:rPr>
                      <w:rFonts w:hint="default" w:ascii="Times New Roman" w:hAnsi="Times New Roman" w:cs="Times New Roman"/>
                      <w:color w:val="auto"/>
                      <w:sz w:val="21"/>
                      <w:szCs w:val="21"/>
                      <w:highlight w:val="none"/>
                      <w:shd w:val="clear" w:color="auto" w:fill="FFFFFF"/>
                      <w:lang w:val="en-US" w:eastAsia="zh-CN"/>
                    </w:rPr>
                    <w:t>VOC</w:t>
                  </w:r>
                  <w:r>
                    <w:rPr>
                      <w:rFonts w:hint="eastAsia" w:cs="Times New Roman"/>
                      <w:color w:val="auto"/>
                      <w:sz w:val="21"/>
                      <w:szCs w:val="21"/>
                      <w:highlight w:val="none"/>
                      <w:shd w:val="clear" w:color="auto" w:fill="FFFFFF"/>
                      <w:lang w:val="en-US" w:eastAsia="zh-CN"/>
                    </w:rPr>
                    <w:t>s</w:t>
                  </w:r>
                  <w:r>
                    <w:rPr>
                      <w:rFonts w:hint="default" w:ascii="Times New Roman" w:hAnsi="Times New Roman" w:cs="Times New Roman"/>
                      <w:bCs/>
                      <w:color w:val="auto"/>
                      <w:sz w:val="21"/>
                      <w:szCs w:val="21"/>
                      <w:highlight w:val="none"/>
                    </w:rPr>
                    <w:t>最高含量为</w:t>
                  </w:r>
                  <w:r>
                    <w:rPr>
                      <w:rFonts w:hint="eastAsia" w:cs="Times New Roman"/>
                      <w:bCs/>
                      <w:color w:val="auto"/>
                      <w:sz w:val="21"/>
                      <w:szCs w:val="21"/>
                      <w:highlight w:val="none"/>
                      <w:lang w:val="en-US" w:eastAsia="zh-CN"/>
                    </w:rPr>
                    <w:t>435g</w:t>
                  </w:r>
                  <w:r>
                    <w:rPr>
                      <w:rFonts w:hint="default" w:ascii="Times New Roman" w:hAnsi="Times New Roman" w:cs="Times New Roman"/>
                      <w:bCs/>
                      <w:color w:val="auto"/>
                      <w:sz w:val="21"/>
                      <w:szCs w:val="21"/>
                      <w:highlight w:val="none"/>
                    </w:rPr>
                    <w:t>/L，满足《低挥发性有机化合物含量涂料产品技术要求》（GB/T 38597-2020）限值要求。本项目调漆、喷漆、晾干等工序产生VOCs的工序均设置于</w:t>
                  </w:r>
                  <w:r>
                    <w:rPr>
                      <w:rFonts w:hint="default" w:ascii="Times New Roman" w:hAnsi="Times New Roman" w:cs="Times New Roman" w:eastAsiaTheme="minorEastAsia"/>
                      <w:bCs/>
                      <w:color w:val="auto"/>
                      <w:sz w:val="21"/>
                      <w:szCs w:val="21"/>
                      <w:highlight w:val="none"/>
                    </w:rPr>
                    <w:t>“房中房”内</w:t>
                  </w:r>
                  <w:r>
                    <w:rPr>
                      <w:rFonts w:hint="default" w:ascii="Times New Roman" w:hAnsi="Times New Roman" w:cs="Times New Roman"/>
                      <w:bCs/>
                      <w:color w:val="auto"/>
                      <w:sz w:val="21"/>
                      <w:szCs w:val="21"/>
                      <w:highlight w:val="none"/>
                    </w:rPr>
                    <w:t>，采用负压收集的方式将上述废气引至</w:t>
                  </w:r>
                  <w:r>
                    <w:rPr>
                      <w:rFonts w:hint="default" w:ascii="Times New Roman" w:hAnsi="Times New Roman" w:cs="Times New Roman" w:eastAsiaTheme="majorEastAsia"/>
                      <w:bCs/>
                      <w:color w:val="auto"/>
                      <w:sz w:val="21"/>
                      <w:szCs w:val="21"/>
                      <w:highlight w:val="none"/>
                    </w:rPr>
                    <w:t>“水帘+干式过滤</w:t>
                  </w:r>
                  <w:r>
                    <w:rPr>
                      <w:rFonts w:hint="eastAsia" w:cs="Times New Roman" w:eastAsiaTheme="majorEastAsia"/>
                      <w:bCs/>
                      <w:color w:val="auto"/>
                      <w:sz w:val="21"/>
                      <w:szCs w:val="21"/>
                      <w:highlight w:val="none"/>
                      <w:lang w:val="en-US" w:eastAsia="zh-CN"/>
                    </w:rPr>
                    <w:t>棉</w:t>
                  </w:r>
                  <w:r>
                    <w:rPr>
                      <w:rFonts w:hint="default" w:ascii="Times New Roman" w:hAnsi="Times New Roman" w:cs="Times New Roman" w:eastAsiaTheme="majorEastAsia"/>
                      <w:bCs/>
                      <w:color w:val="auto"/>
                      <w:sz w:val="21"/>
                      <w:szCs w:val="21"/>
                      <w:highlight w:val="none"/>
                    </w:rPr>
                    <w:t>+</w:t>
                  </w:r>
                  <w:r>
                    <w:rPr>
                      <w:rFonts w:hint="eastAsia" w:cs="Times New Roman" w:eastAsiaTheme="majorEastAsia"/>
                      <w:bCs/>
                      <w:color w:val="auto"/>
                      <w:sz w:val="21"/>
                      <w:szCs w:val="21"/>
                      <w:highlight w:val="none"/>
                      <w:lang w:eastAsia="zh-CN"/>
                    </w:rPr>
                    <w:t>活性炭吸附、脱附催化燃烧装置</w:t>
                  </w:r>
                  <w:r>
                    <w:rPr>
                      <w:rFonts w:hint="default" w:ascii="Times New Roman" w:hAnsi="Times New Roman" w:cs="Times New Roman" w:eastAsiaTheme="majorEastAsia"/>
                      <w:bCs/>
                      <w:color w:val="auto"/>
                      <w:sz w:val="21"/>
                      <w:szCs w:val="21"/>
                      <w:highlight w:val="none"/>
                    </w:rPr>
                    <w:t>”</w:t>
                  </w:r>
                  <w:r>
                    <w:rPr>
                      <w:rFonts w:hint="default" w:ascii="Times New Roman" w:hAnsi="Times New Roman" w:cs="Times New Roman"/>
                      <w:bCs/>
                      <w:color w:val="auto"/>
                      <w:sz w:val="21"/>
                      <w:szCs w:val="21"/>
                      <w:highlight w:val="none"/>
                    </w:rPr>
                    <w:t>净化处理，处理后的废气由15m高排气筒P</w:t>
                  </w:r>
                  <w:r>
                    <w:rPr>
                      <w:rFonts w:hint="eastAsia" w:cs="Times New Roman"/>
                      <w:bCs/>
                      <w:color w:val="auto"/>
                      <w:sz w:val="21"/>
                      <w:szCs w:val="21"/>
                      <w:highlight w:val="none"/>
                      <w:lang w:val="en-US" w:eastAsia="zh-CN"/>
                    </w:rPr>
                    <w:t>6</w:t>
                  </w:r>
                  <w:r>
                    <w:rPr>
                      <w:rFonts w:hint="default" w:ascii="Times New Roman" w:hAnsi="Times New Roman" w:cs="Times New Roman"/>
                      <w:bCs/>
                      <w:color w:val="auto"/>
                      <w:sz w:val="21"/>
                      <w:szCs w:val="21"/>
                      <w:highlight w:val="none"/>
                    </w:rPr>
                    <w:t>全部有组织排放。</w:t>
                  </w:r>
                </w:p>
              </w:tc>
              <w:tc>
                <w:tcPr>
                  <w:tcW w:w="64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符合</w:t>
                  </w:r>
                </w:p>
              </w:tc>
            </w:tr>
            <w:tr>
              <w:tblPrEx>
                <w:tblCellMar>
                  <w:top w:w="0" w:type="dxa"/>
                  <w:left w:w="108" w:type="dxa"/>
                  <w:bottom w:w="0" w:type="dxa"/>
                  <w:right w:w="108" w:type="dxa"/>
                </w:tblCellMar>
              </w:tblPrEx>
              <w:trPr>
                <w:trHeight w:val="90"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eastAsia="zh-CN"/>
                    </w:rPr>
                    <w:t>《天津市持续深入打好污染防治攻坚战三年行动方案》</w:t>
                  </w:r>
                </w:p>
              </w:tc>
            </w:tr>
            <w:tr>
              <w:tblPrEx>
                <w:tblCellMar>
                  <w:top w:w="0" w:type="dxa"/>
                  <w:left w:w="108" w:type="dxa"/>
                  <w:bottom w:w="0" w:type="dxa"/>
                  <w:right w:w="108" w:type="dxa"/>
                </w:tblCellMar>
              </w:tblPrEx>
              <w:trPr>
                <w:trHeight w:val="1214"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w:t>
                  </w:r>
                </w:p>
              </w:tc>
              <w:tc>
                <w:tcPr>
                  <w:tcW w:w="2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rPr>
                    <w:t>全面加强扬尘污染管控。建立配套工程市级部门联动机制，严格落实“六个百分之百”控尘要求。</w:t>
                  </w:r>
                </w:p>
              </w:tc>
              <w:tc>
                <w:tcPr>
                  <w:tcW w:w="2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rPr>
                    <w:t>本项目施工阶段严格落实 “六个百分之百”管控要求以减少扬尘对环境空气的影响。</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zh-CN"/>
                    </w:rPr>
                    <w:t>符合</w:t>
                  </w:r>
                </w:p>
              </w:tc>
            </w:tr>
            <w:tr>
              <w:tblPrEx>
                <w:tblCellMar>
                  <w:top w:w="0" w:type="dxa"/>
                  <w:left w:w="108" w:type="dxa"/>
                  <w:bottom w:w="0" w:type="dxa"/>
                  <w:right w:w="108" w:type="dxa"/>
                </w:tblCellMar>
              </w:tblPrEx>
              <w:trPr>
                <w:trHeight w:val="90"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6.2</w:t>
                  </w:r>
                </w:p>
              </w:tc>
              <w:tc>
                <w:tcPr>
                  <w:tcW w:w="2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cs="Times New Roman"/>
                      <w:bCs/>
                      <w:color w:val="auto"/>
                      <w:sz w:val="21"/>
                      <w:szCs w:val="21"/>
                      <w:highlight w:val="none"/>
                      <w:lang w:val="zh-CN"/>
                    </w:rPr>
                  </w:pPr>
                  <w:r>
                    <w:rPr>
                      <w:rFonts w:hint="eastAsia" w:ascii="Times New Roman" w:hAnsi="Times New Roman" w:cs="Times New Roman"/>
                      <w:color w:val="auto"/>
                      <w:sz w:val="21"/>
                      <w:szCs w:val="21"/>
                      <w:highlight w:val="none"/>
                      <w:lang w:val="zh-CN"/>
                    </w:rPr>
                    <w:t>推进工业园区水环境问题排查整治。全面调查评估工业废水收集、处理情况，对排查出的问题开展整治。加强工业企业、工业园区废水排放监管，确保工业废水稳定达标排放。</w:t>
                  </w:r>
                </w:p>
              </w:tc>
              <w:tc>
                <w:tcPr>
                  <w:tcW w:w="2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cs="Times New Roman"/>
                      <w:bCs/>
                      <w:color w:val="auto"/>
                      <w:sz w:val="21"/>
                      <w:szCs w:val="21"/>
                      <w:highlight w:val="none"/>
                    </w:rPr>
                  </w:pPr>
                  <w:r>
                    <w:rPr>
                      <w:rFonts w:hint="eastAsia" w:ascii="Times New Roman" w:hAnsi="Times New Roman" w:cs="Times New Roman"/>
                      <w:color w:val="auto"/>
                      <w:sz w:val="21"/>
                      <w:szCs w:val="21"/>
                      <w:highlight w:val="none"/>
                      <w:lang w:val="zh-CN"/>
                    </w:rPr>
                    <w:t>本项目</w:t>
                  </w:r>
                  <w:r>
                    <w:rPr>
                      <w:rFonts w:hint="eastAsia" w:ascii="Times New Roman" w:hAnsi="Times New Roman" w:cs="Times New Roman"/>
                      <w:color w:val="auto"/>
                      <w:sz w:val="21"/>
                      <w:szCs w:val="21"/>
                      <w:highlight w:val="none"/>
                      <w:lang w:val="en-US" w:eastAsia="zh-CN"/>
                    </w:rPr>
                    <w:t>外排废水不含生产废水，</w:t>
                  </w:r>
                  <w:r>
                    <w:rPr>
                      <w:rFonts w:hint="eastAsia" w:ascii="Times New Roman" w:hAnsi="Times New Roman" w:cs="Times New Roman"/>
                      <w:color w:val="auto"/>
                      <w:sz w:val="21"/>
                      <w:szCs w:val="21"/>
                      <w:highlight w:val="none"/>
                      <w:lang w:val="zh-CN"/>
                    </w:rPr>
                    <w:t>生活污水经化粪池沉淀后</w:t>
                  </w:r>
                  <w:r>
                    <w:rPr>
                      <w:rFonts w:hint="eastAsia" w:ascii="Times New Roman" w:hAnsi="Times New Roman" w:cs="Times New Roman"/>
                      <w:color w:val="auto"/>
                      <w:sz w:val="21"/>
                      <w:szCs w:val="21"/>
                      <w:highlight w:val="none"/>
                      <w:lang w:val="en-US" w:eastAsia="zh-CN"/>
                    </w:rPr>
                    <w:t>能够满足《污水综合排放准》（DB12/356-2018）三级标准要求，</w:t>
                  </w:r>
                  <w:r>
                    <w:rPr>
                      <w:rFonts w:hint="eastAsia" w:ascii="Times New Roman" w:hAnsi="Times New Roman" w:cs="Times New Roman"/>
                      <w:color w:val="auto"/>
                      <w:sz w:val="21"/>
                      <w:szCs w:val="21"/>
                      <w:highlight w:val="none"/>
                      <w:lang w:val="zh-CN"/>
                    </w:rPr>
                    <w:t>经污水管网排放至大港石化产业园区污水处理厂进行处理。</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Cs/>
                      <w:color w:val="auto"/>
                      <w:sz w:val="21"/>
                      <w:szCs w:val="21"/>
                      <w:highlight w:val="none"/>
                    </w:rPr>
                  </w:pPr>
                  <w:r>
                    <w:rPr>
                      <w:rFonts w:hint="eastAsia"/>
                      <w:color w:val="auto"/>
                      <w:sz w:val="21"/>
                      <w:szCs w:val="21"/>
                      <w:highlight w:val="none"/>
                    </w:rPr>
                    <w:t>符合</w:t>
                  </w:r>
                </w:p>
              </w:tc>
            </w:tr>
            <w:tr>
              <w:tblPrEx>
                <w:tblCellMar>
                  <w:top w:w="0" w:type="dxa"/>
                  <w:left w:w="108" w:type="dxa"/>
                  <w:bottom w:w="0" w:type="dxa"/>
                  <w:right w:w="108" w:type="dxa"/>
                </w:tblCellMar>
              </w:tblPrEx>
              <w:trPr>
                <w:trHeight w:val="1214"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adjustRightInd w:val="0"/>
                    <w:snapToGrid/>
                    <w:spacing w:line="240" w:lineRule="auto"/>
                    <w:jc w:val="center"/>
                    <w:textAlignment w:val="auto"/>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6.3</w:t>
                  </w:r>
                </w:p>
              </w:tc>
              <w:tc>
                <w:tcPr>
                  <w:tcW w:w="290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cs="Times New Roman"/>
                      <w:bCs/>
                      <w:color w:val="auto"/>
                      <w:sz w:val="21"/>
                      <w:szCs w:val="21"/>
                      <w:highlight w:val="none"/>
                      <w:lang w:val="zh-CN"/>
                    </w:rPr>
                  </w:pPr>
                  <w:r>
                    <w:rPr>
                      <w:rFonts w:hint="eastAsia" w:ascii="Times New Roman" w:hAnsi="Times New Roman" w:cs="Times New Roman"/>
                      <w:color w:val="auto"/>
                      <w:sz w:val="21"/>
                      <w:szCs w:val="21"/>
                      <w:highlight w:val="none"/>
                      <w:lang w:val="zh-CN" w:eastAsia="zh-CN"/>
                    </w:rPr>
                    <w:t>坚持源头防控、风险防范“两个并重”，防止新增污染土壤，确保受污染耕地和重点建设用地安全利用。</w:t>
                  </w:r>
                </w:p>
              </w:tc>
              <w:tc>
                <w:tcPr>
                  <w:tcW w:w="29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textAlignment w:val="auto"/>
                    <w:rPr>
                      <w:rFonts w:hint="default" w:ascii="Times New Roman" w:hAnsi="Times New Roman" w:cs="Times New Roman"/>
                      <w:bCs/>
                      <w:color w:val="auto"/>
                      <w:sz w:val="21"/>
                      <w:szCs w:val="21"/>
                      <w:highlight w:val="none"/>
                    </w:rPr>
                  </w:pPr>
                  <w:r>
                    <w:rPr>
                      <w:rFonts w:hint="eastAsia" w:ascii="Times New Roman" w:hAnsi="Times New Roman" w:cs="Times New Roman"/>
                      <w:color w:val="auto"/>
                      <w:sz w:val="21"/>
                      <w:szCs w:val="21"/>
                      <w:highlight w:val="none"/>
                      <w:lang w:val="zh-CN"/>
                    </w:rPr>
                    <w:t>本项目车间地面在项目建设过程中进行防腐、防渗处理，污染物很难进入包气带土壤和潜水含水层对地下水、土壤环境造成影响。</w:t>
                  </w:r>
                  <w:r>
                    <w:rPr>
                      <w:rFonts w:hint="eastAsia" w:ascii="Times New Roman" w:hAnsi="Times New Roman" w:cs="Times New Roman"/>
                      <w:color w:val="auto"/>
                      <w:sz w:val="21"/>
                      <w:szCs w:val="21"/>
                      <w:highlight w:val="none"/>
                      <w:lang w:val="en-US" w:eastAsia="zh-CN"/>
                    </w:rPr>
                    <w:t>漆料间、</w:t>
                  </w:r>
                  <w:r>
                    <w:rPr>
                      <w:rFonts w:hint="eastAsia" w:ascii="Times New Roman" w:hAnsi="Times New Roman" w:cs="Times New Roman"/>
                      <w:color w:val="auto"/>
                      <w:sz w:val="21"/>
                      <w:szCs w:val="21"/>
                      <w:highlight w:val="none"/>
                      <w:lang w:val="zh-CN"/>
                    </w:rPr>
                    <w:t>生产车间原料区、</w:t>
                  </w:r>
                  <w:r>
                    <w:rPr>
                      <w:rFonts w:hint="eastAsia" w:ascii="Times New Roman" w:hAnsi="Times New Roman" w:cs="Times New Roman"/>
                      <w:color w:val="auto"/>
                      <w:sz w:val="21"/>
                      <w:szCs w:val="21"/>
                      <w:highlight w:val="none"/>
                      <w:lang w:val="en-US" w:eastAsia="zh-CN"/>
                    </w:rPr>
                    <w:t>喷漆房</w:t>
                  </w:r>
                  <w:r>
                    <w:rPr>
                      <w:rFonts w:hint="eastAsia" w:ascii="Times New Roman" w:hAnsi="Times New Roman" w:cs="Times New Roman"/>
                      <w:color w:val="auto"/>
                      <w:sz w:val="21"/>
                      <w:szCs w:val="21"/>
                      <w:highlight w:val="none"/>
                      <w:lang w:val="zh-CN"/>
                    </w:rPr>
                    <w:t>及危险废物暂存间按照要求做好防渗措施，液体原料包装桶存放区下设防渗托盘，危废间内液态废物贮存于带盖包装桶内，可及时发现撒漏并及时清理，不存在对周边土壤、地下水环境污染途径。</w:t>
                  </w:r>
                </w:p>
              </w:tc>
              <w:tc>
                <w:tcPr>
                  <w:tcW w:w="9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Cs/>
                      <w:color w:val="auto"/>
                      <w:sz w:val="21"/>
                      <w:szCs w:val="21"/>
                      <w:highlight w:val="none"/>
                    </w:rPr>
                  </w:pPr>
                  <w:r>
                    <w:rPr>
                      <w:rFonts w:hint="eastAsia"/>
                      <w:color w:val="auto"/>
                      <w:sz w:val="21"/>
                      <w:szCs w:val="21"/>
                      <w:highlight w:val="none"/>
                    </w:rPr>
                    <w:t>符合</w:t>
                  </w:r>
                </w:p>
              </w:tc>
            </w:tr>
          </w:tbl>
          <w:p>
            <w:pPr>
              <w:pStyle w:val="92"/>
              <w:ind w:firstLine="0" w:firstLineChars="0"/>
              <w:jc w:val="center"/>
              <w:rPr>
                <w:rFonts w:hint="eastAsia" w:ascii="Times New Roman" w:hAnsi="Times New Roman" w:cs="Times New Roman"/>
                <w:color w:val="auto"/>
                <w:highlight w:val="none"/>
              </w:rPr>
            </w:pPr>
            <w:r>
              <w:rPr>
                <w:rFonts w:hint="eastAsia" w:cs="Times New Roman"/>
                <w:color w:val="auto"/>
                <w:highlight w:val="none"/>
                <w:lang w:val="en-US" w:eastAsia="zh-CN"/>
              </w:rPr>
              <w:t xml:space="preserve">    </w:t>
            </w:r>
            <w:r>
              <w:rPr>
                <w:rFonts w:hint="eastAsia" w:ascii="Times New Roman" w:hAnsi="Times New Roman" w:cs="Times New Roman"/>
                <w:color w:val="auto"/>
                <w:highlight w:val="none"/>
              </w:rPr>
              <w:t>《工业防护涂料中有害物质限量》（GB30981-2020）、《低挥发性</w:t>
            </w:r>
          </w:p>
          <w:p>
            <w:pPr>
              <w:pStyle w:val="92"/>
              <w:ind w:firstLine="0" w:firstLineChars="0"/>
              <w:jc w:val="both"/>
              <w:rPr>
                <w:rFonts w:ascii="Times New Roman" w:hAnsi="Times New Roman" w:cs="Times New Roman"/>
                <w:color w:val="auto"/>
                <w:highlight w:val="none"/>
              </w:rPr>
            </w:pPr>
            <w:r>
              <w:rPr>
                <w:rFonts w:hint="eastAsia" w:ascii="Times New Roman" w:hAnsi="Times New Roman" w:cs="Times New Roman"/>
                <w:color w:val="auto"/>
                <w:highlight w:val="none"/>
              </w:rPr>
              <w:t>有机化合物含量涂料产品技术要求》（GB/T38597-2020）符合性分析。</w:t>
            </w:r>
          </w:p>
          <w:p>
            <w:pPr>
              <w:pStyle w:val="92"/>
              <w:ind w:firstLine="0" w:firstLineChars="0"/>
              <w:jc w:val="center"/>
              <w:rPr>
                <w:rFonts w:hint="default" w:ascii="Times New Roman" w:hAnsi="Times New Roman" w:eastAsia="宋体" w:cs="Times New Roman"/>
                <w:b/>
                <w:snapToGrid w:val="0"/>
                <w:color w:val="auto"/>
                <w:spacing w:val="6"/>
                <w:kern w:val="2"/>
                <w:sz w:val="21"/>
                <w:szCs w:val="24"/>
                <w:highlight w:val="none"/>
                <w:lang w:val="en-US" w:eastAsia="zh-CN" w:bidi="ar-SA"/>
              </w:rPr>
            </w:pPr>
            <w:r>
              <w:rPr>
                <w:rFonts w:hint="default" w:ascii="Times New Roman" w:hAnsi="Times New Roman" w:eastAsia="宋体" w:cs="Times New Roman"/>
                <w:b/>
                <w:snapToGrid w:val="0"/>
                <w:color w:val="auto"/>
                <w:spacing w:val="6"/>
                <w:kern w:val="2"/>
                <w:sz w:val="21"/>
                <w:szCs w:val="24"/>
                <w:highlight w:val="none"/>
                <w:lang w:val="en-US" w:eastAsia="zh-CN" w:bidi="ar-SA"/>
              </w:rPr>
              <w:t>表</w:t>
            </w:r>
            <w:r>
              <w:rPr>
                <w:rFonts w:hint="eastAsia" w:ascii="Times New Roman" w:hAnsi="Times New Roman" w:eastAsia="宋体" w:cs="Times New Roman"/>
                <w:b/>
                <w:snapToGrid w:val="0"/>
                <w:color w:val="auto"/>
                <w:spacing w:val="6"/>
                <w:kern w:val="2"/>
                <w:sz w:val="21"/>
                <w:szCs w:val="24"/>
                <w:highlight w:val="none"/>
                <w:lang w:val="en-US" w:eastAsia="zh-CN" w:bidi="ar-SA"/>
              </w:rPr>
              <w:t>1-5与</w:t>
            </w:r>
            <w:r>
              <w:rPr>
                <w:rFonts w:hint="default" w:ascii="Times New Roman" w:hAnsi="Times New Roman" w:eastAsia="宋体" w:cs="Times New Roman"/>
                <w:b/>
                <w:snapToGrid w:val="0"/>
                <w:color w:val="auto"/>
                <w:spacing w:val="6"/>
                <w:kern w:val="2"/>
                <w:sz w:val="21"/>
                <w:szCs w:val="24"/>
                <w:highlight w:val="none"/>
                <w:lang w:val="en-US" w:eastAsia="zh-CN" w:bidi="ar-SA"/>
              </w:rPr>
              <w:t>相关VOC含量标准符合性分析一览表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3105"/>
              <w:gridCol w:w="3040"/>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4" w:type="dxa"/>
                  <w:gridSpan w:val="2"/>
                  <w:vAlign w:val="center"/>
                </w:tcPr>
                <w:p>
                  <w:pPr>
                    <w:pStyle w:val="92"/>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标准要求</w:t>
                  </w:r>
                </w:p>
              </w:tc>
              <w:tc>
                <w:tcPr>
                  <w:tcW w:w="3885" w:type="dxa"/>
                  <w:vAlign w:val="center"/>
                </w:tcPr>
                <w:p>
                  <w:pPr>
                    <w:pStyle w:val="92"/>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本项目情况</w:t>
                  </w:r>
                </w:p>
              </w:tc>
              <w:tc>
                <w:tcPr>
                  <w:tcW w:w="1057" w:type="dxa"/>
                  <w:vAlign w:val="center"/>
                </w:tcPr>
                <w:p>
                  <w:pPr>
                    <w:pStyle w:val="92"/>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4"/>
                  <w:vAlign w:val="center"/>
                </w:tcPr>
                <w:p>
                  <w:pPr>
                    <w:pStyle w:val="92"/>
                    <w:keepNext w:val="0"/>
                    <w:keepLines w:val="0"/>
                    <w:pageBreakBefore w:val="0"/>
                    <w:kinsoku/>
                    <w:wordWrap/>
                    <w:overflowPunct/>
                    <w:topLinePunct w:val="0"/>
                    <w:bidi w:val="0"/>
                    <w:snapToGrid/>
                    <w:spacing w:line="240" w:lineRule="auto"/>
                    <w:ind w:firstLine="42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《工业防护涂料中有害物质限量》（GB30981-2020）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dxa"/>
                  <w:vAlign w:val="center"/>
                </w:tcPr>
                <w:p>
                  <w:pPr>
                    <w:pStyle w:val="92"/>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.1</w:t>
                  </w:r>
                </w:p>
              </w:tc>
              <w:tc>
                <w:tcPr>
                  <w:tcW w:w="3930" w:type="dxa"/>
                  <w:vAlign w:val="center"/>
                </w:tcPr>
                <w:p>
                  <w:pPr>
                    <w:keepNext w:val="0"/>
                    <w:keepLines w:val="0"/>
                    <w:pageBreakBefore w:val="0"/>
                    <w:kinsoku/>
                    <w:wordWrap/>
                    <w:overflowPunct/>
                    <w:topLinePunct w:val="0"/>
                    <w:bidi w:val="0"/>
                    <w:adjustRightInd w:val="0"/>
                    <w:snapToGrid/>
                    <w:spacing w:line="240" w:lineRule="auto"/>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表2溶剂型涂料中VOC含量要</w:t>
                  </w:r>
                </w:p>
                <w:p>
                  <w:pPr>
                    <w:keepNext w:val="0"/>
                    <w:keepLines w:val="0"/>
                    <w:pageBreakBefore w:val="0"/>
                    <w:kinsoku/>
                    <w:wordWrap/>
                    <w:overflowPunct/>
                    <w:topLinePunct w:val="0"/>
                    <w:bidi w:val="0"/>
                    <w:adjustRightInd w:val="0"/>
                    <w:snapToGrid/>
                    <w:spacing w:line="240" w:lineRule="auto"/>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求中：建筑物和构筑物防护涂料，金属基材防腐涂料，</w:t>
                  </w:r>
                  <w:r>
                    <w:rPr>
                      <w:rFonts w:hint="eastAsia" w:cs="Times New Roman"/>
                      <w:color w:val="auto"/>
                      <w:sz w:val="21"/>
                      <w:szCs w:val="21"/>
                      <w:highlight w:val="none"/>
                      <w:lang w:eastAsia="zh-CN"/>
                    </w:rPr>
                    <w:t>双组分</w:t>
                  </w:r>
                  <w:r>
                    <w:rPr>
                      <w:rFonts w:ascii="Times New Roman" w:hAnsi="Times New Roman" w:cs="Times New Roman"/>
                      <w:color w:val="auto"/>
                      <w:sz w:val="21"/>
                      <w:szCs w:val="21"/>
                      <w:highlight w:val="none"/>
                    </w:rPr>
                    <w:t>涂料：底漆500g/L、中涂500g/L、面漆550g/L。</w:t>
                  </w:r>
                </w:p>
              </w:tc>
              <w:tc>
                <w:tcPr>
                  <w:tcW w:w="3885" w:type="dxa"/>
                  <w:vAlign w:val="center"/>
                </w:tcPr>
                <w:p>
                  <w:pPr>
                    <w:keepNext w:val="0"/>
                    <w:keepLines w:val="0"/>
                    <w:pageBreakBefore w:val="0"/>
                    <w:kinsoku/>
                    <w:wordWrap/>
                    <w:overflowPunct/>
                    <w:topLinePunct w:val="0"/>
                    <w:autoSpaceDE w:val="0"/>
                    <w:autoSpaceDN w:val="0"/>
                    <w:bidi w:val="0"/>
                    <w:adjustRightInd w:val="0"/>
                    <w:snapToGrid/>
                    <w:spacing w:line="240" w:lineRule="auto"/>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本项目用漆属于工业防护</w:t>
                  </w:r>
                  <w:r>
                    <w:rPr>
                      <w:rFonts w:ascii="Times New Roman" w:hAnsi="Times New Roman" w:cs="Times New Roman"/>
                      <w:color w:val="auto"/>
                      <w:sz w:val="21"/>
                      <w:szCs w:val="21"/>
                      <w:highlight w:val="none"/>
                      <w:lang w:val="zh-CN"/>
                    </w:rPr>
                    <w:t>涂料中</w:t>
                  </w:r>
                  <w:r>
                    <w:rPr>
                      <w:rFonts w:ascii="Times New Roman" w:hAnsi="Times New Roman" w:cs="Times New Roman"/>
                      <w:color w:val="auto"/>
                      <w:sz w:val="21"/>
                      <w:szCs w:val="21"/>
                      <w:highlight w:val="none"/>
                    </w:rPr>
                    <w:t>建筑物和构筑物防护</w:t>
                  </w:r>
                  <w:r>
                    <w:rPr>
                      <w:rFonts w:ascii="Times New Roman" w:hAnsi="Times New Roman" w:cs="Times New Roman"/>
                      <w:color w:val="auto"/>
                      <w:sz w:val="21"/>
                      <w:szCs w:val="21"/>
                      <w:highlight w:val="none"/>
                      <w:lang w:val="zh-CN"/>
                    </w:rPr>
                    <w:t>涂料，</w:t>
                  </w:r>
                  <w:r>
                    <w:rPr>
                      <w:rFonts w:ascii="Times New Roman" w:hAnsi="Times New Roman" w:cs="Times New Roman"/>
                      <w:color w:val="auto"/>
                      <w:sz w:val="21"/>
                      <w:szCs w:val="21"/>
                      <w:highlight w:val="none"/>
                    </w:rPr>
                    <w:t>金属基材防腐涂料，调配后的底漆VOC含量为</w:t>
                  </w:r>
                  <w:r>
                    <w:rPr>
                      <w:rFonts w:hint="eastAsia" w:cs="Times New Roman"/>
                      <w:color w:val="auto"/>
                      <w:sz w:val="21"/>
                      <w:szCs w:val="21"/>
                      <w:highlight w:val="none"/>
                      <w:lang w:eastAsia="zh-CN"/>
                    </w:rPr>
                    <w:t>435g</w:t>
                  </w:r>
                  <w:r>
                    <w:rPr>
                      <w:rFonts w:ascii="Times New Roman" w:hAnsi="Times New Roman" w:cs="Times New Roman"/>
                      <w:color w:val="auto"/>
                      <w:sz w:val="21"/>
                      <w:szCs w:val="21"/>
                      <w:highlight w:val="none"/>
                    </w:rPr>
                    <w:t>/L，小于限值500克/升；</w:t>
                  </w:r>
                  <w:r>
                    <w:rPr>
                      <w:rFonts w:hint="eastAsia" w:cs="Times New Roman"/>
                      <w:color w:val="auto"/>
                      <w:sz w:val="21"/>
                      <w:szCs w:val="21"/>
                      <w:highlight w:val="none"/>
                      <w:lang w:val="en-US" w:eastAsia="zh-CN"/>
                    </w:rPr>
                    <w:t>面漆</w:t>
                  </w:r>
                  <w:r>
                    <w:rPr>
                      <w:rFonts w:ascii="Times New Roman" w:hAnsi="Times New Roman" w:cs="Times New Roman"/>
                      <w:color w:val="auto"/>
                      <w:sz w:val="21"/>
                      <w:szCs w:val="21"/>
                      <w:highlight w:val="none"/>
                    </w:rPr>
                    <w:t>VOC含量为</w:t>
                  </w:r>
                  <w:r>
                    <w:rPr>
                      <w:rFonts w:hint="eastAsia" w:cs="Times New Roman"/>
                      <w:color w:val="auto"/>
                      <w:sz w:val="21"/>
                      <w:szCs w:val="21"/>
                      <w:highlight w:val="none"/>
                      <w:lang w:val="en-US" w:eastAsia="zh-CN"/>
                    </w:rPr>
                    <w:t>433</w:t>
                  </w:r>
                  <w:r>
                    <w:rPr>
                      <w:rFonts w:hint="eastAsia" w:cs="Times New Roman"/>
                      <w:color w:val="auto"/>
                      <w:sz w:val="21"/>
                      <w:szCs w:val="21"/>
                      <w:highlight w:val="none"/>
                      <w:lang w:eastAsia="zh-CN"/>
                    </w:rPr>
                    <w:t>g</w:t>
                  </w:r>
                  <w:r>
                    <w:rPr>
                      <w:rFonts w:ascii="Times New Roman" w:hAnsi="Times New Roman" w:cs="Times New Roman"/>
                      <w:color w:val="auto"/>
                      <w:sz w:val="21"/>
                      <w:szCs w:val="21"/>
                      <w:highlight w:val="none"/>
                    </w:rPr>
                    <w:t>/L，小于限值5</w:t>
                  </w:r>
                  <w:r>
                    <w:rPr>
                      <w:rFonts w:hint="eastAsia" w:cs="Times New Roman"/>
                      <w:color w:val="auto"/>
                      <w:sz w:val="21"/>
                      <w:szCs w:val="21"/>
                      <w:highlight w:val="none"/>
                      <w:lang w:val="en-US" w:eastAsia="zh-CN"/>
                    </w:rPr>
                    <w:t>5</w:t>
                  </w:r>
                  <w:r>
                    <w:rPr>
                      <w:rFonts w:ascii="Times New Roman" w:hAnsi="Times New Roman" w:cs="Times New Roman"/>
                      <w:color w:val="auto"/>
                      <w:sz w:val="21"/>
                      <w:szCs w:val="21"/>
                      <w:highlight w:val="none"/>
                    </w:rPr>
                    <w:t>0g/L。</w:t>
                  </w:r>
                </w:p>
              </w:tc>
              <w:tc>
                <w:tcPr>
                  <w:tcW w:w="1057" w:type="dxa"/>
                  <w:vAlign w:val="center"/>
                </w:tcPr>
                <w:p>
                  <w:pPr>
                    <w:pStyle w:val="92"/>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dxa"/>
                  <w:vAlign w:val="center"/>
                </w:tcPr>
                <w:p>
                  <w:pPr>
                    <w:pStyle w:val="92"/>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w:t>
                  </w:r>
                  <w:r>
                    <w:rPr>
                      <w:rFonts w:ascii="Times New Roman" w:hAnsi="Times New Roman" w:cs="Times New Roman"/>
                      <w:color w:val="auto"/>
                      <w:sz w:val="21"/>
                      <w:szCs w:val="21"/>
                      <w:highlight w:val="none"/>
                    </w:rPr>
                    <w:t>2</w:t>
                  </w:r>
                </w:p>
              </w:tc>
              <w:tc>
                <w:tcPr>
                  <w:tcW w:w="3930" w:type="dxa"/>
                  <w:vAlign w:val="center"/>
                </w:tcPr>
                <w:p>
                  <w:pPr>
                    <w:keepNext w:val="0"/>
                    <w:keepLines w:val="0"/>
                    <w:pageBreakBefore w:val="0"/>
                    <w:kinsoku/>
                    <w:wordWrap/>
                    <w:overflowPunct/>
                    <w:topLinePunct w:val="0"/>
                    <w:bidi w:val="0"/>
                    <w:adjustRightInd w:val="0"/>
                    <w:snapToGrid/>
                    <w:spacing w:line="240" w:lineRule="auto"/>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甲苯与二甲苯（含乙苯）总和含量</w:t>
                  </w:r>
                  <w:r>
                    <w:rPr>
                      <w:rFonts w:ascii="Times New Roman" w:hAnsi="Times New Roman" w:cs="Times New Roman"/>
                      <w:color w:val="auto"/>
                      <w:sz w:val="21"/>
                      <w:szCs w:val="21"/>
                      <w:highlight w:val="none"/>
                      <w:vertAlign w:val="superscript"/>
                    </w:rPr>
                    <w:t>a</w:t>
                  </w:r>
                  <w:r>
                    <w:rPr>
                      <w:rFonts w:ascii="Times New Roman" w:hAnsi="Times New Roman" w:cs="Times New Roman"/>
                      <w:color w:val="auto"/>
                      <w:sz w:val="21"/>
                      <w:szCs w:val="21"/>
                      <w:highlight w:val="none"/>
                    </w:rPr>
                    <w:t>（限溶剂型</w:t>
                  </w:r>
                  <w:r>
                    <w:rPr>
                      <w:rFonts w:ascii="Times New Roman" w:hAnsi="Times New Roman" w:eastAsia="宋体" w:cs="Times New Roman"/>
                      <w:color w:val="auto"/>
                      <w:sz w:val="21"/>
                      <w:szCs w:val="21"/>
                      <w:highlight w:val="none"/>
                    </w:rPr>
                    <w:t>涂料、非水性辐射固化涂料）小于35</w:t>
                  </w:r>
                  <w:r>
                    <w:rPr>
                      <w:rFonts w:hint="eastAsia" w:ascii="Times New Roman" w:hAnsi="Times New Roman" w:eastAsia="宋体" w:cs="Times New Roman"/>
                      <w:color w:val="auto"/>
                      <w:sz w:val="21"/>
                      <w:szCs w:val="21"/>
                      <w:highlight w:val="none"/>
                      <w:lang w:val="en-US" w:eastAsia="zh-CN"/>
                    </w:rPr>
                    <w:t>%</w:t>
                  </w:r>
                  <w:r>
                    <w:rPr>
                      <w:rFonts w:ascii="Times New Roman" w:hAnsi="Times New Roman" w:eastAsia="宋体" w:cs="Times New Roman"/>
                      <w:color w:val="auto"/>
                      <w:sz w:val="21"/>
                      <w:szCs w:val="21"/>
                      <w:highlight w:val="none"/>
                    </w:rPr>
                    <w:t>。</w:t>
                  </w:r>
                </w:p>
              </w:tc>
              <w:tc>
                <w:tcPr>
                  <w:tcW w:w="3885" w:type="dxa"/>
                  <w:vAlign w:val="center"/>
                </w:tcPr>
                <w:p>
                  <w:pPr>
                    <w:keepNext w:val="0"/>
                    <w:keepLines w:val="0"/>
                    <w:pageBreakBefore w:val="0"/>
                    <w:kinsoku/>
                    <w:wordWrap/>
                    <w:overflowPunct/>
                    <w:topLinePunct w:val="0"/>
                    <w:autoSpaceDE w:val="0"/>
                    <w:autoSpaceDN w:val="0"/>
                    <w:bidi w:val="0"/>
                    <w:adjustRightInd w:val="0"/>
                    <w:snapToGrid/>
                    <w:spacing w:line="240" w:lineRule="auto"/>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底漆甲苯与二甲苯（含乙苯）总和含量</w:t>
                  </w:r>
                  <w:r>
                    <w:rPr>
                      <w:rFonts w:ascii="Times New Roman" w:hAnsi="Times New Roman" w:cs="Times New Roman"/>
                      <w:color w:val="auto"/>
                      <w:sz w:val="21"/>
                      <w:szCs w:val="21"/>
                      <w:highlight w:val="none"/>
                      <w:vertAlign w:val="superscript"/>
                    </w:rPr>
                    <w:t>a</w:t>
                  </w:r>
                  <w:r>
                    <w:rPr>
                      <w:rFonts w:ascii="Times New Roman" w:hAnsi="Times New Roman" w:cs="Times New Roman"/>
                      <w:color w:val="auto"/>
                      <w:sz w:val="21"/>
                      <w:szCs w:val="21"/>
                      <w:highlight w:val="none"/>
                    </w:rPr>
                    <w:t>（限溶剂型涂料、非水性辐射固化涂料）为22.7%，</w:t>
                  </w:r>
                  <w:r>
                    <w:rPr>
                      <w:rFonts w:hint="eastAsia" w:cs="Times New Roman"/>
                      <w:color w:val="auto"/>
                      <w:sz w:val="21"/>
                      <w:szCs w:val="21"/>
                      <w:highlight w:val="none"/>
                      <w:lang w:eastAsia="zh-CN"/>
                    </w:rPr>
                    <w:t>面漆</w:t>
                  </w:r>
                  <w:r>
                    <w:rPr>
                      <w:rFonts w:ascii="Times New Roman" w:hAnsi="Times New Roman" w:cs="Times New Roman"/>
                      <w:color w:val="auto"/>
                      <w:sz w:val="21"/>
                      <w:szCs w:val="21"/>
                      <w:highlight w:val="none"/>
                    </w:rPr>
                    <w:t>甲苯与二甲苯（含乙苯）总和含量</w:t>
                  </w:r>
                  <w:r>
                    <w:rPr>
                      <w:rFonts w:ascii="Times New Roman" w:hAnsi="Times New Roman" w:cs="Times New Roman"/>
                      <w:color w:val="auto"/>
                      <w:sz w:val="21"/>
                      <w:szCs w:val="21"/>
                      <w:highlight w:val="none"/>
                      <w:vertAlign w:val="superscript"/>
                    </w:rPr>
                    <w:t>a</w:t>
                  </w:r>
                  <w:r>
                    <w:rPr>
                      <w:rFonts w:ascii="Times New Roman" w:hAnsi="Times New Roman" w:cs="Times New Roman"/>
                      <w:color w:val="auto"/>
                      <w:sz w:val="21"/>
                      <w:szCs w:val="21"/>
                      <w:highlight w:val="none"/>
                    </w:rPr>
                    <w:t>（限溶剂型涂料、非水性辐射固化涂料）为24.1%。</w:t>
                  </w:r>
                </w:p>
              </w:tc>
              <w:tc>
                <w:tcPr>
                  <w:tcW w:w="1057" w:type="dxa"/>
                  <w:vAlign w:val="center"/>
                </w:tcPr>
                <w:p>
                  <w:pPr>
                    <w:pStyle w:val="92"/>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dxa"/>
                  <w:vAlign w:val="center"/>
                </w:tcPr>
                <w:p>
                  <w:pPr>
                    <w:pStyle w:val="92"/>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w:t>
                  </w:r>
                </w:p>
              </w:tc>
              <w:tc>
                <w:tcPr>
                  <w:tcW w:w="3930" w:type="dxa"/>
                  <w:vAlign w:val="center"/>
                </w:tcPr>
                <w:p>
                  <w:pPr>
                    <w:keepNext w:val="0"/>
                    <w:keepLines w:val="0"/>
                    <w:pageBreakBefore w:val="0"/>
                    <w:kinsoku/>
                    <w:wordWrap/>
                    <w:overflowPunct/>
                    <w:topLinePunct w:val="0"/>
                    <w:bidi w:val="0"/>
                    <w:adjustRightInd w:val="0"/>
                    <w:snapToGrid/>
                    <w:spacing w:line="240" w:lineRule="auto"/>
                    <w:textAlignment w:val="auto"/>
                    <w:rPr>
                      <w:rFonts w:ascii="Times New Roman" w:hAnsi="Times New Roman" w:cs="Times New Roman"/>
                      <w:color w:val="auto"/>
                      <w:sz w:val="21"/>
                      <w:szCs w:val="21"/>
                      <w:highlight w:val="none"/>
                    </w:rPr>
                  </w:pPr>
                  <w:r>
                    <w:rPr>
                      <w:rFonts w:hint="eastAsia" w:cs="Times New Roman"/>
                      <w:color w:val="auto"/>
                      <w:sz w:val="21"/>
                      <w:szCs w:val="21"/>
                      <w:highlight w:val="none"/>
                      <w:lang w:val="en-US" w:eastAsia="zh-CN" w:bidi="ar"/>
                    </w:rPr>
                    <w:t>水性</w:t>
                  </w:r>
                  <w:r>
                    <w:rPr>
                      <w:rFonts w:hint="default" w:ascii="Times New Roman" w:hAnsi="Times New Roman" w:eastAsia="宋体" w:cs="Times New Roman"/>
                      <w:color w:val="auto"/>
                      <w:sz w:val="21"/>
                      <w:szCs w:val="21"/>
                      <w:highlight w:val="none"/>
                      <w:lang w:val="en-US" w:eastAsia="zh-CN" w:bidi="ar"/>
                    </w:rPr>
                    <w:t>涂料中VOC含量的限量值要求中</w:t>
                  </w:r>
                  <w:r>
                    <w:rPr>
                      <w:rFonts w:hint="eastAsia" w:cs="Times New Roman"/>
                      <w:color w:val="auto"/>
                      <w:sz w:val="21"/>
                      <w:szCs w:val="21"/>
                      <w:highlight w:val="none"/>
                      <w:lang w:val="en-US" w:eastAsia="zh-CN" w:bidi="ar"/>
                    </w:rPr>
                    <w:t>建筑物和构筑物防护</w:t>
                  </w:r>
                  <w:r>
                    <w:rPr>
                      <w:rFonts w:hint="default" w:ascii="Times New Roman" w:hAnsi="Times New Roman" w:eastAsia="宋体" w:cs="Times New Roman"/>
                      <w:color w:val="auto"/>
                      <w:sz w:val="21"/>
                      <w:szCs w:val="21"/>
                      <w:highlight w:val="none"/>
                      <w:lang w:val="en-US" w:eastAsia="zh-CN" w:bidi="ar"/>
                    </w:rPr>
                    <w:t>涂料—</w:t>
                  </w:r>
                  <w:r>
                    <w:rPr>
                      <w:rFonts w:hint="eastAsia" w:cs="Times New Roman"/>
                      <w:color w:val="auto"/>
                      <w:sz w:val="21"/>
                      <w:szCs w:val="21"/>
                      <w:highlight w:val="none"/>
                      <w:lang w:val="en-US" w:eastAsia="zh-CN" w:bidi="ar"/>
                    </w:rPr>
                    <w:t>金属基材防腐涂料</w:t>
                  </w:r>
                  <w:r>
                    <w:rPr>
                      <w:rFonts w:hint="default" w:ascii="Times New Roman" w:hAnsi="Times New Roman" w:eastAsia="宋体" w:cs="Times New Roman"/>
                      <w:color w:val="auto"/>
                      <w:sz w:val="21"/>
                      <w:szCs w:val="21"/>
                      <w:highlight w:val="none"/>
                      <w:lang w:val="en-US" w:eastAsia="zh-CN" w:bidi="ar"/>
                    </w:rPr>
                    <w:t>中</w:t>
                  </w:r>
                  <w:r>
                    <w:rPr>
                      <w:rFonts w:hint="eastAsia" w:cs="Times New Roman"/>
                      <w:color w:val="auto"/>
                      <w:sz w:val="21"/>
                      <w:szCs w:val="21"/>
                      <w:highlight w:val="none"/>
                      <w:lang w:val="en-US" w:eastAsia="zh-CN" w:bidi="ar"/>
                    </w:rPr>
                    <w:t>双组分</w:t>
                  </w:r>
                  <w:r>
                    <w:rPr>
                      <w:rFonts w:hint="default" w:ascii="Times New Roman" w:hAnsi="Times New Roman" w:eastAsia="宋体" w:cs="Times New Roman"/>
                      <w:color w:val="auto"/>
                      <w:sz w:val="21"/>
                      <w:szCs w:val="21"/>
                      <w:highlight w:val="none"/>
                      <w:lang w:val="en-US" w:eastAsia="zh-CN" w:bidi="ar"/>
                    </w:rPr>
                    <w:t>底漆</w:t>
                  </w:r>
                  <w:r>
                    <w:rPr>
                      <w:rFonts w:hint="eastAsia" w:cs="Times New Roman"/>
                      <w:color w:val="auto"/>
                      <w:sz w:val="21"/>
                      <w:szCs w:val="21"/>
                      <w:highlight w:val="none"/>
                      <w:lang w:val="en-US" w:eastAsia="zh-CN" w:bidi="ar"/>
                    </w:rPr>
                    <w:t>、面漆</w:t>
                  </w:r>
                  <w:r>
                    <w:rPr>
                      <w:rFonts w:hint="default" w:ascii="Times New Roman" w:hAnsi="Times New Roman" w:eastAsia="宋体" w:cs="Times New Roman"/>
                      <w:color w:val="auto"/>
                      <w:sz w:val="21"/>
                      <w:szCs w:val="21"/>
                      <w:highlight w:val="none"/>
                      <w:lang w:val="en-US" w:eastAsia="zh-CN" w:bidi="ar"/>
                    </w:rPr>
                    <w:t>≤</w:t>
                  </w:r>
                  <w:r>
                    <w:rPr>
                      <w:rFonts w:hint="eastAsia" w:cs="Times New Roman"/>
                      <w:color w:val="auto"/>
                      <w:sz w:val="21"/>
                      <w:szCs w:val="21"/>
                      <w:highlight w:val="none"/>
                      <w:lang w:val="en-US" w:eastAsia="zh-CN" w:bidi="ar"/>
                    </w:rPr>
                    <w:t>3</w:t>
                  </w:r>
                  <w:r>
                    <w:rPr>
                      <w:rFonts w:hint="default" w:ascii="Times New Roman" w:hAnsi="Times New Roman" w:eastAsia="宋体" w:cs="Times New Roman"/>
                      <w:color w:val="auto"/>
                      <w:sz w:val="21"/>
                      <w:szCs w:val="21"/>
                      <w:highlight w:val="none"/>
                      <w:lang w:val="en-US" w:eastAsia="zh-CN" w:bidi="ar"/>
                    </w:rPr>
                    <w:t>00g/L。</w:t>
                  </w:r>
                </w:p>
              </w:tc>
              <w:tc>
                <w:tcPr>
                  <w:tcW w:w="3885" w:type="dxa"/>
                  <w:vAlign w:val="center"/>
                </w:tcPr>
                <w:p>
                  <w:pPr>
                    <w:keepNext w:val="0"/>
                    <w:keepLines w:val="0"/>
                    <w:pageBreakBefore w:val="0"/>
                    <w:kinsoku/>
                    <w:wordWrap/>
                    <w:overflowPunct/>
                    <w:topLinePunct w:val="0"/>
                    <w:autoSpaceDE w:val="0"/>
                    <w:autoSpaceDN w:val="0"/>
                    <w:bidi w:val="0"/>
                    <w:adjustRightInd w:val="0"/>
                    <w:snapToGrid/>
                    <w:spacing w:line="240" w:lineRule="auto"/>
                    <w:textAlignment w:val="auto"/>
                    <w:rPr>
                      <w:rFonts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bidi="ar"/>
                    </w:rPr>
                    <w:t>本项目用</w:t>
                  </w:r>
                  <w:r>
                    <w:rPr>
                      <w:rFonts w:hint="default" w:ascii="Times New Roman" w:hAnsi="Times New Roman" w:cs="Times New Roman"/>
                      <w:color w:val="auto"/>
                      <w:sz w:val="21"/>
                      <w:szCs w:val="21"/>
                      <w:highlight w:val="none"/>
                      <w:lang w:bidi="ar"/>
                    </w:rPr>
                    <w:t>水性漆VOCs</w:t>
                  </w:r>
                  <w:r>
                    <w:rPr>
                      <w:rFonts w:hint="default" w:ascii="Times New Roman" w:hAnsi="Times New Roman" w:cs="Times New Roman"/>
                      <w:color w:val="auto"/>
                      <w:sz w:val="21"/>
                      <w:szCs w:val="21"/>
                      <w:highlight w:val="none"/>
                      <w:lang w:val="zh-CN" w:bidi="ar"/>
                    </w:rPr>
                    <w:t>含量为</w:t>
                  </w:r>
                  <w:r>
                    <w:rPr>
                      <w:rFonts w:hint="default" w:ascii="Times New Roman" w:hAnsi="Times New Roman" w:cs="Times New Roman"/>
                      <w:color w:val="auto"/>
                      <w:sz w:val="21"/>
                      <w:szCs w:val="21"/>
                      <w:highlight w:val="none"/>
                      <w:lang w:bidi="ar"/>
                    </w:rPr>
                    <w:t>60</w:t>
                  </w:r>
                  <w:r>
                    <w:rPr>
                      <w:rFonts w:hint="default" w:ascii="Times New Roman" w:hAnsi="Times New Roman" w:cs="Times New Roman"/>
                      <w:color w:val="auto"/>
                      <w:sz w:val="21"/>
                      <w:szCs w:val="21"/>
                      <w:highlight w:val="none"/>
                      <w:lang w:val="zh-CN" w:bidi="ar"/>
                    </w:rPr>
                    <w:t>g/L小于限值</w:t>
                  </w:r>
                  <w:r>
                    <w:rPr>
                      <w:rFonts w:hint="eastAsia" w:cs="Times New Roman"/>
                      <w:color w:val="auto"/>
                      <w:sz w:val="21"/>
                      <w:szCs w:val="21"/>
                      <w:highlight w:val="none"/>
                      <w:lang w:val="en-US" w:eastAsia="zh-CN" w:bidi="ar"/>
                    </w:rPr>
                    <w:t>3</w:t>
                  </w:r>
                  <w:r>
                    <w:rPr>
                      <w:rFonts w:hint="default" w:ascii="Times New Roman" w:hAnsi="Times New Roman" w:cs="Times New Roman"/>
                      <w:color w:val="auto"/>
                      <w:sz w:val="21"/>
                      <w:szCs w:val="21"/>
                      <w:highlight w:val="none"/>
                      <w:lang w:val="en-US" w:eastAsia="zh-CN" w:bidi="ar"/>
                    </w:rPr>
                    <w:t>00g</w:t>
                  </w:r>
                  <w:r>
                    <w:rPr>
                      <w:rFonts w:hint="default" w:ascii="Times New Roman" w:hAnsi="Times New Roman" w:cs="Times New Roman"/>
                      <w:color w:val="auto"/>
                      <w:sz w:val="21"/>
                      <w:szCs w:val="21"/>
                      <w:highlight w:val="none"/>
                      <w:lang w:val="zh-CN" w:bidi="ar"/>
                    </w:rPr>
                    <w:t>/</w:t>
                  </w:r>
                  <w:r>
                    <w:rPr>
                      <w:rFonts w:hint="default" w:ascii="Times New Roman" w:hAnsi="Times New Roman" w:cs="Times New Roman"/>
                      <w:color w:val="auto"/>
                      <w:sz w:val="21"/>
                      <w:szCs w:val="21"/>
                      <w:highlight w:val="none"/>
                      <w:lang w:val="en-US" w:eastAsia="zh-CN" w:bidi="ar"/>
                    </w:rPr>
                    <w:t>L</w:t>
                  </w:r>
                  <w:r>
                    <w:rPr>
                      <w:rFonts w:hint="default" w:ascii="Times New Roman" w:hAnsi="Times New Roman" w:cs="Times New Roman"/>
                      <w:color w:val="auto"/>
                      <w:sz w:val="21"/>
                      <w:szCs w:val="21"/>
                      <w:highlight w:val="none"/>
                      <w:lang w:val="zh-CN" w:bidi="ar"/>
                    </w:rPr>
                    <w:t>。</w:t>
                  </w:r>
                </w:p>
              </w:tc>
              <w:tc>
                <w:tcPr>
                  <w:tcW w:w="1057" w:type="dxa"/>
                  <w:vAlign w:val="center"/>
                </w:tcPr>
                <w:p>
                  <w:pPr>
                    <w:pStyle w:val="92"/>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4"/>
                  <w:vAlign w:val="center"/>
                </w:tcPr>
                <w:p>
                  <w:pPr>
                    <w:pStyle w:val="92"/>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《低挥发性有机化合物含量涂料产品技术要求》（GB/T38597-2020）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dxa"/>
                  <w:vAlign w:val="center"/>
                </w:tcPr>
                <w:p>
                  <w:pPr>
                    <w:pStyle w:val="92"/>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w:t>
                  </w:r>
                  <w:r>
                    <w:rPr>
                      <w:rFonts w:ascii="Times New Roman" w:hAnsi="Times New Roman" w:cs="Times New Roman"/>
                      <w:color w:val="auto"/>
                      <w:sz w:val="21"/>
                      <w:szCs w:val="21"/>
                      <w:highlight w:val="none"/>
                    </w:rPr>
                    <w:t>1</w:t>
                  </w:r>
                </w:p>
              </w:tc>
              <w:tc>
                <w:tcPr>
                  <w:tcW w:w="3930" w:type="dxa"/>
                  <w:vAlign w:val="center"/>
                </w:tcPr>
                <w:p>
                  <w:pPr>
                    <w:keepNext w:val="0"/>
                    <w:keepLines w:val="0"/>
                    <w:pageBreakBefore w:val="0"/>
                    <w:widowControl/>
                    <w:kinsoku/>
                    <w:wordWrap/>
                    <w:overflowPunct/>
                    <w:topLinePunct w:val="0"/>
                    <w:bidi w:val="0"/>
                    <w:snapToGrid/>
                    <w:spacing w:line="240" w:lineRule="auto"/>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工业防护</w:t>
                  </w:r>
                  <w:r>
                    <w:rPr>
                      <w:rFonts w:ascii="Times New Roman" w:hAnsi="Times New Roman" w:cs="Times New Roman"/>
                      <w:color w:val="auto"/>
                      <w:sz w:val="21"/>
                      <w:szCs w:val="21"/>
                      <w:highlight w:val="none"/>
                      <w:lang w:val="zh-CN"/>
                    </w:rPr>
                    <w:t>涂料中</w:t>
                  </w:r>
                  <w:r>
                    <w:rPr>
                      <w:rFonts w:ascii="Times New Roman" w:hAnsi="Times New Roman" w:cs="Times New Roman"/>
                      <w:color w:val="auto"/>
                      <w:sz w:val="21"/>
                      <w:szCs w:val="21"/>
                      <w:highlight w:val="none"/>
                    </w:rPr>
                    <w:t>建筑物和构筑物防护</w:t>
                  </w:r>
                  <w:r>
                    <w:rPr>
                      <w:rFonts w:ascii="Times New Roman" w:hAnsi="Times New Roman" w:cs="Times New Roman"/>
                      <w:color w:val="auto"/>
                      <w:sz w:val="21"/>
                      <w:szCs w:val="21"/>
                      <w:highlight w:val="none"/>
                      <w:lang w:val="zh-CN"/>
                    </w:rPr>
                    <w:t>涂料（</w:t>
                  </w:r>
                  <w:r>
                    <w:rPr>
                      <w:rFonts w:ascii="Times New Roman" w:hAnsi="Times New Roman" w:cs="Times New Roman"/>
                      <w:color w:val="auto"/>
                      <w:sz w:val="21"/>
                      <w:szCs w:val="21"/>
                      <w:highlight w:val="none"/>
                    </w:rPr>
                    <w:t>建筑用墙面涂料除外</w:t>
                  </w:r>
                  <w:r>
                    <w:rPr>
                      <w:rFonts w:ascii="Times New Roman" w:hAnsi="Times New Roman" w:cs="Times New Roman"/>
                      <w:color w:val="auto"/>
                      <w:sz w:val="21"/>
                      <w:szCs w:val="21"/>
                      <w:highlight w:val="none"/>
                      <w:lang w:val="zh-CN"/>
                    </w:rPr>
                    <w:t>），</w:t>
                  </w:r>
                  <w:r>
                    <w:rPr>
                      <w:rFonts w:ascii="Times New Roman" w:hAnsi="Times New Roman" w:cs="Times New Roman"/>
                      <w:color w:val="auto"/>
                      <w:sz w:val="21"/>
                      <w:szCs w:val="21"/>
                      <w:highlight w:val="none"/>
                    </w:rPr>
                    <w:t>金属基材防腐涂料，</w:t>
                  </w:r>
                  <w:r>
                    <w:rPr>
                      <w:rFonts w:hint="eastAsia" w:cs="Times New Roman"/>
                      <w:color w:val="auto"/>
                      <w:sz w:val="21"/>
                      <w:szCs w:val="21"/>
                      <w:highlight w:val="none"/>
                      <w:lang w:eastAsia="zh-CN"/>
                    </w:rPr>
                    <w:t>双组分</w:t>
                  </w:r>
                  <w:r>
                    <w:rPr>
                      <w:rFonts w:ascii="Times New Roman" w:hAnsi="Times New Roman" w:cs="Times New Roman"/>
                      <w:color w:val="auto"/>
                      <w:sz w:val="21"/>
                      <w:szCs w:val="21"/>
                      <w:highlight w:val="none"/>
                      <w:lang w:val="zh-CN"/>
                    </w:rPr>
                    <w:t>底漆</w:t>
                  </w:r>
                  <w:r>
                    <w:rPr>
                      <w:rFonts w:ascii="Times New Roman" w:hAnsi="Times New Roman" w:cs="Times New Roman"/>
                      <w:color w:val="auto"/>
                      <w:sz w:val="21"/>
                      <w:szCs w:val="21"/>
                      <w:highlight w:val="none"/>
                    </w:rPr>
                    <w:t>VOC限量值为450g/L，双</w:t>
                  </w:r>
                  <w:r>
                    <w:rPr>
                      <w:rFonts w:hint="eastAsia" w:cs="Times New Roman"/>
                      <w:color w:val="auto"/>
                      <w:sz w:val="21"/>
                      <w:szCs w:val="21"/>
                      <w:highlight w:val="none"/>
                      <w:lang w:eastAsia="zh-CN"/>
                    </w:rPr>
                    <w:t>组分中</w:t>
                  </w:r>
                  <w:r>
                    <w:rPr>
                      <w:rFonts w:ascii="Times New Roman" w:hAnsi="Times New Roman" w:cs="Times New Roman"/>
                      <w:color w:val="auto"/>
                      <w:sz w:val="21"/>
                      <w:szCs w:val="21"/>
                      <w:highlight w:val="none"/>
                    </w:rPr>
                    <w:t>涂VOC限量值为420g/L，</w:t>
                  </w:r>
                  <w:r>
                    <w:rPr>
                      <w:rFonts w:hint="eastAsia" w:cs="Times New Roman"/>
                      <w:color w:val="auto"/>
                      <w:sz w:val="21"/>
                      <w:szCs w:val="21"/>
                      <w:highlight w:val="none"/>
                      <w:lang w:eastAsia="zh-CN"/>
                    </w:rPr>
                    <w:t>双组分</w:t>
                  </w:r>
                  <w:r>
                    <w:rPr>
                      <w:rFonts w:ascii="Times New Roman" w:hAnsi="Times New Roman" w:cs="Times New Roman"/>
                      <w:color w:val="auto"/>
                      <w:sz w:val="21"/>
                      <w:szCs w:val="21"/>
                      <w:highlight w:val="none"/>
                    </w:rPr>
                    <w:t>面漆VOC，单组分限量值为450g/L。</w:t>
                  </w:r>
                </w:p>
                <w:p>
                  <w:pPr>
                    <w:keepNext w:val="0"/>
                    <w:keepLines w:val="0"/>
                    <w:pageBreakBefore w:val="0"/>
                    <w:widowControl/>
                    <w:kinsoku/>
                    <w:wordWrap/>
                    <w:overflowPunct/>
                    <w:topLinePunct w:val="0"/>
                    <w:bidi w:val="0"/>
                    <w:snapToGrid/>
                    <w:spacing w:line="240" w:lineRule="auto"/>
                    <w:textAlignment w:val="auto"/>
                    <w:rPr>
                      <w:rFonts w:ascii="Times New Roman" w:hAnsi="Times New Roman" w:cs="Times New Roman"/>
                      <w:color w:val="auto"/>
                      <w:sz w:val="21"/>
                      <w:szCs w:val="21"/>
                      <w:highlight w:val="none"/>
                    </w:rPr>
                  </w:pPr>
                </w:p>
              </w:tc>
              <w:tc>
                <w:tcPr>
                  <w:tcW w:w="3885" w:type="dxa"/>
                  <w:vAlign w:val="center"/>
                </w:tcPr>
                <w:p>
                  <w:pPr>
                    <w:keepNext w:val="0"/>
                    <w:keepLines w:val="0"/>
                    <w:pageBreakBefore w:val="0"/>
                    <w:kinsoku/>
                    <w:wordWrap/>
                    <w:overflowPunct/>
                    <w:topLinePunct w:val="0"/>
                    <w:autoSpaceDE w:val="0"/>
                    <w:autoSpaceDN w:val="0"/>
                    <w:bidi w:val="0"/>
                    <w:adjustRightInd w:val="0"/>
                    <w:snapToGrid/>
                    <w:spacing w:line="240" w:lineRule="auto"/>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本项目用漆属于工业防护</w:t>
                  </w:r>
                  <w:r>
                    <w:rPr>
                      <w:rFonts w:ascii="Times New Roman" w:hAnsi="Times New Roman" w:cs="Times New Roman"/>
                      <w:color w:val="auto"/>
                      <w:sz w:val="21"/>
                      <w:szCs w:val="21"/>
                      <w:highlight w:val="none"/>
                      <w:lang w:val="zh-CN"/>
                    </w:rPr>
                    <w:t>涂料中</w:t>
                  </w:r>
                  <w:r>
                    <w:rPr>
                      <w:rFonts w:ascii="Times New Roman" w:hAnsi="Times New Roman" w:cs="Times New Roman"/>
                      <w:color w:val="auto"/>
                      <w:sz w:val="21"/>
                      <w:szCs w:val="21"/>
                      <w:highlight w:val="none"/>
                    </w:rPr>
                    <w:t>建筑物和构筑物防护</w:t>
                  </w:r>
                  <w:r>
                    <w:rPr>
                      <w:rFonts w:ascii="Times New Roman" w:hAnsi="Times New Roman" w:cs="Times New Roman"/>
                      <w:color w:val="auto"/>
                      <w:sz w:val="21"/>
                      <w:szCs w:val="21"/>
                      <w:highlight w:val="none"/>
                      <w:lang w:val="zh-CN"/>
                    </w:rPr>
                    <w:t>涂料（</w:t>
                  </w:r>
                  <w:r>
                    <w:rPr>
                      <w:rFonts w:ascii="Times New Roman" w:hAnsi="Times New Roman" w:cs="Times New Roman"/>
                      <w:color w:val="auto"/>
                      <w:sz w:val="21"/>
                      <w:szCs w:val="21"/>
                      <w:highlight w:val="none"/>
                    </w:rPr>
                    <w:t>建筑用墙面涂料除外</w:t>
                  </w:r>
                  <w:r>
                    <w:rPr>
                      <w:rFonts w:ascii="Times New Roman" w:hAnsi="Times New Roman" w:cs="Times New Roman"/>
                      <w:color w:val="auto"/>
                      <w:sz w:val="21"/>
                      <w:szCs w:val="21"/>
                      <w:highlight w:val="none"/>
                      <w:lang w:val="zh-CN"/>
                    </w:rPr>
                    <w:t>），</w:t>
                  </w:r>
                  <w:r>
                    <w:rPr>
                      <w:rFonts w:ascii="Times New Roman" w:hAnsi="Times New Roman" w:cs="Times New Roman"/>
                      <w:color w:val="auto"/>
                      <w:sz w:val="21"/>
                      <w:szCs w:val="21"/>
                      <w:highlight w:val="none"/>
                    </w:rPr>
                    <w:t>金属基材防腐涂料，调配后的底漆VOC含量为</w:t>
                  </w:r>
                  <w:r>
                    <w:rPr>
                      <w:rFonts w:hint="eastAsia" w:cs="Times New Roman"/>
                      <w:color w:val="auto"/>
                      <w:sz w:val="21"/>
                      <w:szCs w:val="21"/>
                      <w:highlight w:val="none"/>
                      <w:lang w:eastAsia="zh-CN"/>
                    </w:rPr>
                    <w:t>435g</w:t>
                  </w:r>
                  <w:r>
                    <w:rPr>
                      <w:rFonts w:ascii="Times New Roman" w:hAnsi="Times New Roman" w:cs="Times New Roman"/>
                      <w:color w:val="auto"/>
                      <w:sz w:val="21"/>
                      <w:szCs w:val="21"/>
                      <w:highlight w:val="none"/>
                    </w:rPr>
                    <w:t>/L，小于限值450 克/升；</w:t>
                  </w:r>
                  <w:r>
                    <w:rPr>
                      <w:rFonts w:hint="eastAsia" w:cs="Times New Roman"/>
                      <w:color w:val="auto"/>
                      <w:sz w:val="21"/>
                      <w:szCs w:val="21"/>
                      <w:highlight w:val="none"/>
                      <w:lang w:val="en-US" w:eastAsia="zh-CN"/>
                    </w:rPr>
                    <w:t>面漆</w:t>
                  </w:r>
                  <w:r>
                    <w:rPr>
                      <w:rFonts w:ascii="Times New Roman" w:hAnsi="Times New Roman" w:cs="Times New Roman"/>
                      <w:color w:val="auto"/>
                      <w:sz w:val="21"/>
                      <w:szCs w:val="21"/>
                      <w:highlight w:val="none"/>
                    </w:rPr>
                    <w:t>VOC含量为</w:t>
                  </w:r>
                  <w:r>
                    <w:rPr>
                      <w:rFonts w:hint="eastAsia" w:cs="Times New Roman"/>
                      <w:color w:val="auto"/>
                      <w:sz w:val="21"/>
                      <w:szCs w:val="21"/>
                      <w:highlight w:val="none"/>
                      <w:lang w:eastAsia="zh-CN"/>
                    </w:rPr>
                    <w:t>4</w:t>
                  </w:r>
                  <w:r>
                    <w:rPr>
                      <w:rFonts w:hint="eastAsia" w:cs="Times New Roman"/>
                      <w:color w:val="auto"/>
                      <w:sz w:val="21"/>
                      <w:szCs w:val="21"/>
                      <w:highlight w:val="none"/>
                      <w:lang w:val="en-US" w:eastAsia="zh-CN"/>
                    </w:rPr>
                    <w:t>33</w:t>
                  </w:r>
                  <w:r>
                    <w:rPr>
                      <w:rFonts w:hint="eastAsia" w:cs="Times New Roman"/>
                      <w:color w:val="auto"/>
                      <w:sz w:val="21"/>
                      <w:szCs w:val="21"/>
                      <w:highlight w:val="none"/>
                      <w:lang w:eastAsia="zh-CN"/>
                    </w:rPr>
                    <w:t>g</w:t>
                  </w:r>
                  <w:r>
                    <w:rPr>
                      <w:rFonts w:ascii="Times New Roman" w:hAnsi="Times New Roman" w:cs="Times New Roman"/>
                      <w:color w:val="auto"/>
                      <w:sz w:val="21"/>
                      <w:szCs w:val="21"/>
                      <w:highlight w:val="none"/>
                    </w:rPr>
                    <w:t>/L，小于限值4</w:t>
                  </w:r>
                  <w:r>
                    <w:rPr>
                      <w:rFonts w:hint="eastAsia" w:cs="Times New Roman"/>
                      <w:color w:val="auto"/>
                      <w:sz w:val="21"/>
                      <w:szCs w:val="21"/>
                      <w:highlight w:val="none"/>
                      <w:lang w:val="en-US" w:eastAsia="zh-CN"/>
                    </w:rPr>
                    <w:t>5</w:t>
                  </w:r>
                  <w:r>
                    <w:rPr>
                      <w:rFonts w:ascii="Times New Roman" w:hAnsi="Times New Roman" w:cs="Times New Roman"/>
                      <w:color w:val="auto"/>
                      <w:sz w:val="21"/>
                      <w:szCs w:val="21"/>
                      <w:highlight w:val="none"/>
                    </w:rPr>
                    <w:t>0g/L。</w:t>
                  </w:r>
                </w:p>
              </w:tc>
              <w:tc>
                <w:tcPr>
                  <w:tcW w:w="1057" w:type="dxa"/>
                  <w:vAlign w:val="center"/>
                </w:tcPr>
                <w:p>
                  <w:pPr>
                    <w:pStyle w:val="92"/>
                    <w:keepNext w:val="0"/>
                    <w:keepLines w:val="0"/>
                    <w:pageBreakBefore w:val="0"/>
                    <w:kinsoku/>
                    <w:wordWrap/>
                    <w:overflowPunct/>
                    <w:topLinePunct w:val="0"/>
                    <w:bidi w:val="0"/>
                    <w:snapToGrid/>
                    <w:spacing w:line="24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 w:type="dxa"/>
                  <w:vAlign w:val="center"/>
                </w:tcPr>
                <w:p>
                  <w:pPr>
                    <w:pStyle w:val="92"/>
                    <w:keepNext w:val="0"/>
                    <w:keepLines w:val="0"/>
                    <w:pageBreakBefore w:val="0"/>
                    <w:kinsoku/>
                    <w:wordWrap/>
                    <w:overflowPunct/>
                    <w:topLinePunct w:val="0"/>
                    <w:bidi w:val="0"/>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c>
                <w:tcPr>
                  <w:tcW w:w="3930" w:type="dxa"/>
                  <w:vAlign w:val="center"/>
                </w:tcPr>
                <w:p>
                  <w:pPr>
                    <w:keepNext w:val="0"/>
                    <w:keepLines w:val="0"/>
                    <w:pageBreakBefore w:val="0"/>
                    <w:kinsoku/>
                    <w:wordWrap/>
                    <w:overflowPunct/>
                    <w:topLinePunct w:val="0"/>
                    <w:bidi w:val="0"/>
                    <w:snapToGrid/>
                    <w:spacing w:line="240" w:lineRule="auto"/>
                    <w:textAlignment w:val="auto"/>
                    <w:rPr>
                      <w:rFonts w:hint="eastAsia"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en-US" w:eastAsia="zh-CN"/>
                    </w:rPr>
                    <w:t>水性</w:t>
                  </w:r>
                  <w:r>
                    <w:rPr>
                      <w:rFonts w:hint="default" w:ascii="Times New Roman" w:hAnsi="Times New Roman" w:eastAsia="宋体" w:cs="Times New Roman"/>
                      <w:color w:val="auto"/>
                      <w:sz w:val="21"/>
                      <w:szCs w:val="21"/>
                      <w:highlight w:val="none"/>
                      <w:lang w:val="zh-CN"/>
                    </w:rPr>
                    <w:t>涂料中</w:t>
                  </w:r>
                  <w:r>
                    <w:rPr>
                      <w:rFonts w:hint="eastAsia" w:ascii="Times New Roman" w:hAnsi="Times New Roman" w:eastAsia="宋体" w:cs="Times New Roman"/>
                      <w:color w:val="auto"/>
                      <w:sz w:val="21"/>
                      <w:szCs w:val="21"/>
                      <w:highlight w:val="none"/>
                      <w:lang w:val="en-US" w:eastAsia="zh-CN"/>
                    </w:rPr>
                    <w:t>建筑物和构筑物防护</w:t>
                  </w:r>
                  <w:r>
                    <w:rPr>
                      <w:rFonts w:hint="default" w:ascii="Times New Roman" w:hAnsi="Times New Roman" w:eastAsia="宋体" w:cs="Times New Roman"/>
                      <w:color w:val="auto"/>
                      <w:sz w:val="21"/>
                      <w:szCs w:val="21"/>
                      <w:highlight w:val="none"/>
                      <w:lang w:val="zh-CN"/>
                    </w:rPr>
                    <w:t>涂料</w:t>
                  </w:r>
                  <w:r>
                    <w:rPr>
                      <w:rFonts w:hint="eastAsia" w:ascii="Times New Roman" w:hAnsi="Times New Roman" w:eastAsia="宋体" w:cs="Times New Roman"/>
                      <w:color w:val="auto"/>
                      <w:sz w:val="21"/>
                      <w:szCs w:val="21"/>
                      <w:highlight w:val="none"/>
                      <w:lang w:val="zh-CN"/>
                    </w:rPr>
                    <w:t>（</w:t>
                  </w:r>
                  <w:r>
                    <w:rPr>
                      <w:rFonts w:hint="eastAsia" w:ascii="Times New Roman" w:hAnsi="Times New Roman" w:eastAsia="宋体" w:cs="Times New Roman"/>
                      <w:color w:val="auto"/>
                      <w:sz w:val="21"/>
                      <w:szCs w:val="21"/>
                      <w:highlight w:val="none"/>
                      <w:lang w:val="en-US" w:eastAsia="zh-CN"/>
                    </w:rPr>
                    <w:t>建筑用墙面涂料除外</w:t>
                  </w:r>
                  <w:r>
                    <w:rPr>
                      <w:rFonts w:hint="eastAsia" w:ascii="Times New Roman" w:hAnsi="Times New Roman" w:eastAsia="宋体" w:cs="Times New Roman"/>
                      <w:color w:val="auto"/>
                      <w:sz w:val="21"/>
                      <w:szCs w:val="21"/>
                      <w:highlight w:val="none"/>
                      <w:lang w:val="zh-CN"/>
                    </w:rPr>
                    <w:t>），</w:t>
                  </w:r>
                  <w:r>
                    <w:rPr>
                      <w:rFonts w:hint="eastAsia" w:cs="Times New Roman"/>
                      <w:color w:val="auto"/>
                      <w:sz w:val="21"/>
                      <w:szCs w:val="21"/>
                      <w:highlight w:val="none"/>
                      <w:lang w:val="zh-CN"/>
                    </w:rPr>
                    <w:t>双组分</w:t>
                  </w:r>
                  <w:r>
                    <w:rPr>
                      <w:rFonts w:hint="default" w:ascii="Times New Roman" w:hAnsi="Times New Roman" w:eastAsia="宋体" w:cs="Times New Roman"/>
                      <w:color w:val="auto"/>
                      <w:sz w:val="21"/>
                      <w:szCs w:val="21"/>
                      <w:highlight w:val="none"/>
                      <w:lang w:val="zh-CN"/>
                    </w:rPr>
                    <w:t>底漆VOCs限量值为</w:t>
                  </w:r>
                  <w:r>
                    <w:rPr>
                      <w:rFonts w:hint="eastAsia" w:ascii="Times New Roman" w:hAnsi="Times New Roman" w:eastAsia="宋体" w:cs="Times New Roman"/>
                      <w:color w:val="auto"/>
                      <w:sz w:val="21"/>
                      <w:szCs w:val="21"/>
                      <w:highlight w:val="none"/>
                      <w:lang w:val="en-US" w:eastAsia="zh-CN"/>
                    </w:rPr>
                    <w:t>250</w:t>
                  </w:r>
                  <w:r>
                    <w:rPr>
                      <w:rFonts w:hint="default" w:ascii="Times New Roman" w:hAnsi="Times New Roman" w:eastAsia="宋体" w:cs="Times New Roman"/>
                      <w:color w:val="auto"/>
                      <w:sz w:val="21"/>
                      <w:szCs w:val="21"/>
                      <w:highlight w:val="none"/>
                      <w:lang w:val="zh-CN"/>
                    </w:rPr>
                    <w:t>g/L，</w:t>
                  </w:r>
                  <w:r>
                    <w:rPr>
                      <w:rFonts w:hint="eastAsia" w:cs="Times New Roman"/>
                      <w:color w:val="auto"/>
                      <w:sz w:val="21"/>
                      <w:szCs w:val="21"/>
                      <w:highlight w:val="none"/>
                      <w:lang w:val="zh-CN"/>
                    </w:rPr>
                    <w:t>双组分</w:t>
                  </w:r>
                  <w:r>
                    <w:rPr>
                      <w:rFonts w:hint="default" w:ascii="Times New Roman" w:hAnsi="Times New Roman" w:eastAsia="宋体" w:cs="Times New Roman"/>
                      <w:color w:val="auto"/>
                      <w:sz w:val="21"/>
                      <w:szCs w:val="21"/>
                      <w:highlight w:val="none"/>
                      <w:lang w:val="zh-CN"/>
                    </w:rPr>
                    <w:t>面漆VOCs单组分限量值为</w:t>
                  </w:r>
                  <w:r>
                    <w:rPr>
                      <w:rFonts w:hint="eastAsia" w:ascii="Times New Roman" w:hAnsi="Times New Roman" w:eastAsia="宋体" w:cs="Times New Roman"/>
                      <w:color w:val="auto"/>
                      <w:sz w:val="21"/>
                      <w:szCs w:val="21"/>
                      <w:highlight w:val="none"/>
                      <w:lang w:val="en-US" w:eastAsia="zh-CN"/>
                    </w:rPr>
                    <w:t>250</w:t>
                  </w:r>
                  <w:r>
                    <w:rPr>
                      <w:rFonts w:hint="default" w:ascii="Times New Roman" w:hAnsi="Times New Roman" w:eastAsia="宋体" w:cs="Times New Roman"/>
                      <w:color w:val="auto"/>
                      <w:sz w:val="21"/>
                      <w:szCs w:val="21"/>
                      <w:highlight w:val="none"/>
                      <w:lang w:val="zh-CN"/>
                    </w:rPr>
                    <w:t>g/L。</w:t>
                  </w:r>
                </w:p>
              </w:tc>
              <w:tc>
                <w:tcPr>
                  <w:tcW w:w="3885" w:type="dxa"/>
                  <w:vAlign w:val="center"/>
                </w:tcPr>
                <w:p>
                  <w:pPr>
                    <w:keepNext w:val="0"/>
                    <w:keepLines w:val="0"/>
                    <w:pageBreakBefore w:val="0"/>
                    <w:kinsoku/>
                    <w:wordWrap/>
                    <w:overflowPunct/>
                    <w:topLinePunct w:val="0"/>
                    <w:bidi w:val="0"/>
                    <w:snapToGrid/>
                    <w:spacing w:line="240" w:lineRule="auto"/>
                    <w:textAlignment w:val="auto"/>
                    <w:rPr>
                      <w:rFonts w:hint="eastAsia"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本项目用水性漆VOCs含量为60g/L ，小于限值</w:t>
                  </w:r>
                  <w:r>
                    <w:rPr>
                      <w:rFonts w:hint="eastAsia" w:ascii="Times New Roman" w:hAnsi="Times New Roman" w:eastAsia="宋体" w:cs="Times New Roman"/>
                      <w:color w:val="auto"/>
                      <w:sz w:val="21"/>
                      <w:szCs w:val="21"/>
                      <w:highlight w:val="none"/>
                      <w:lang w:val="en-US" w:eastAsia="zh-CN"/>
                    </w:rPr>
                    <w:t>250</w:t>
                  </w:r>
                  <w:r>
                    <w:rPr>
                      <w:rFonts w:hint="default" w:ascii="Times New Roman" w:hAnsi="Times New Roman" w:eastAsia="宋体" w:cs="Times New Roman"/>
                      <w:color w:val="auto"/>
                      <w:sz w:val="21"/>
                      <w:szCs w:val="21"/>
                      <w:highlight w:val="none"/>
                      <w:lang w:val="zh-CN"/>
                    </w:rPr>
                    <w:t>克/</w:t>
                  </w:r>
                  <w:r>
                    <w:rPr>
                      <w:rFonts w:hint="eastAsia" w:ascii="Times New Roman" w:hAnsi="Times New Roman" w:eastAsia="宋体" w:cs="Times New Roman"/>
                      <w:color w:val="auto"/>
                      <w:sz w:val="21"/>
                      <w:szCs w:val="21"/>
                      <w:highlight w:val="none"/>
                      <w:lang w:val="en-US" w:eastAsia="zh-CN"/>
                    </w:rPr>
                    <w:t>L</w:t>
                  </w:r>
                  <w:r>
                    <w:rPr>
                      <w:rFonts w:hint="default" w:ascii="Times New Roman" w:hAnsi="Times New Roman" w:eastAsia="宋体" w:cs="Times New Roman"/>
                      <w:color w:val="auto"/>
                      <w:sz w:val="21"/>
                      <w:szCs w:val="21"/>
                      <w:highlight w:val="none"/>
                      <w:lang w:val="zh-CN"/>
                    </w:rPr>
                    <w:t>。</w:t>
                  </w:r>
                </w:p>
              </w:tc>
              <w:tc>
                <w:tcPr>
                  <w:tcW w:w="1057" w:type="dxa"/>
                  <w:vAlign w:val="center"/>
                </w:tcPr>
                <w:p>
                  <w:pPr>
                    <w:pStyle w:val="92"/>
                    <w:keepNext w:val="0"/>
                    <w:keepLines w:val="0"/>
                    <w:pageBreakBefore w:val="0"/>
                    <w:kinsoku/>
                    <w:wordWrap/>
                    <w:overflowPunct/>
                    <w:topLinePunct w:val="0"/>
                    <w:bidi w:val="0"/>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bl>
          <w:p>
            <w:pPr>
              <w:spacing w:line="360" w:lineRule="auto"/>
              <w:ind w:firstLine="482" w:firstLineChars="200"/>
              <w:rPr>
                <w:rFonts w:hint="eastAsia" w:cs="Times New Roman"/>
                <w:b w:val="0"/>
                <w:bCs w:val="0"/>
                <w:color w:val="auto"/>
                <w:sz w:val="24"/>
                <w:szCs w:val="24"/>
                <w:highlight w:val="none"/>
                <w:lang w:eastAsia="zh-CN"/>
              </w:rPr>
            </w:pPr>
            <w:r>
              <w:rPr>
                <w:rFonts w:hint="eastAsia" w:cs="Times New Roman"/>
                <w:b/>
                <w:bCs w:val="0"/>
                <w:color w:val="auto"/>
                <w:sz w:val="24"/>
                <w:szCs w:val="24"/>
                <w:highlight w:val="none"/>
                <w:lang w:val="en-US" w:eastAsia="zh-CN"/>
              </w:rPr>
              <w:t>注：</w:t>
            </w:r>
            <w:r>
              <w:rPr>
                <w:rFonts w:hint="default" w:ascii="Times New Roman" w:hAnsi="Times New Roman" w:cs="Times New Roman"/>
                <w:color w:val="auto"/>
                <w:kern w:val="24"/>
                <w:sz w:val="24"/>
                <w:szCs w:val="24"/>
                <w:highlight w:val="none"/>
              </w:rPr>
              <w:t>根据建设单位提供资料，</w:t>
            </w:r>
            <w:r>
              <w:rPr>
                <w:rFonts w:ascii="Times New Roman" w:hAnsi="Times New Roman" w:cs="Times New Roman"/>
                <w:color w:val="auto"/>
                <w:sz w:val="24"/>
                <w:szCs w:val="24"/>
                <w:highlight w:val="none"/>
              </w:rPr>
              <w:t>环氧有机富锌底漆</w:t>
            </w:r>
            <w:r>
              <w:rPr>
                <w:rFonts w:hint="eastAsia" w:ascii="Times New Roman" w:hAnsi="Times New Roman" w:cs="Times New Roman"/>
                <w:color w:val="auto"/>
                <w:sz w:val="24"/>
                <w:szCs w:val="24"/>
                <w:highlight w:val="none"/>
                <w:lang w:val="en-US" w:eastAsia="zh-CN"/>
              </w:rPr>
              <w:t>A组分和</w:t>
            </w:r>
            <w:r>
              <w:rPr>
                <w:rFonts w:ascii="Times New Roman" w:hAnsi="Times New Roman" w:cs="Times New Roman"/>
                <w:color w:val="auto"/>
                <w:sz w:val="24"/>
                <w:szCs w:val="24"/>
                <w:highlight w:val="none"/>
              </w:rPr>
              <w:t>B组分</w:t>
            </w:r>
            <w:r>
              <w:rPr>
                <w:rFonts w:hint="default" w:ascii="Times New Roman" w:hAnsi="Times New Roman" w:cs="Times New Roman"/>
                <w:color w:val="auto"/>
                <w:kern w:val="24"/>
                <w:sz w:val="24"/>
                <w:szCs w:val="24"/>
                <w:highlight w:val="none"/>
              </w:rPr>
              <w:t>工作时配比关系为体积比，具体比例为</w:t>
            </w:r>
            <w:r>
              <w:rPr>
                <w:rFonts w:ascii="Times New Roman" w:hAnsi="Times New Roman" w:cs="Times New Roman"/>
                <w:color w:val="auto"/>
                <w:sz w:val="24"/>
                <w:szCs w:val="24"/>
                <w:highlight w:val="none"/>
              </w:rPr>
              <w:t>环氧有机富锌底漆</w:t>
            </w:r>
            <w:r>
              <w:rPr>
                <w:rFonts w:hint="eastAsia" w:ascii="Times New Roman" w:hAnsi="Times New Roman" w:cs="Times New Roman"/>
                <w:color w:val="auto"/>
                <w:sz w:val="24"/>
                <w:szCs w:val="24"/>
                <w:highlight w:val="none"/>
                <w:lang w:val="en-US" w:eastAsia="zh-CN"/>
              </w:rPr>
              <w:t>A组分</w:t>
            </w:r>
            <w:r>
              <w:rPr>
                <w:rFonts w:hint="default" w:ascii="Times New Roman" w:hAnsi="Times New Roman" w:cs="Times New Roman"/>
                <w:color w:val="auto"/>
                <w:kern w:val="24"/>
                <w:sz w:val="24"/>
                <w:szCs w:val="24"/>
                <w:highlight w:val="none"/>
              </w:rPr>
              <w:t>：</w:t>
            </w:r>
            <w:r>
              <w:rPr>
                <w:rFonts w:ascii="Times New Roman" w:hAnsi="Times New Roman" w:cs="Times New Roman"/>
                <w:color w:val="auto"/>
                <w:sz w:val="24"/>
                <w:szCs w:val="24"/>
                <w:highlight w:val="none"/>
              </w:rPr>
              <w:t>环氧有机富锌底漆</w:t>
            </w:r>
            <w:r>
              <w:rPr>
                <w:rFonts w:hint="eastAsia" w:ascii="Times New Roman" w:hAnsi="Times New Roman" w:cs="Times New Roman"/>
                <w:color w:val="auto"/>
                <w:sz w:val="24"/>
                <w:szCs w:val="24"/>
                <w:highlight w:val="none"/>
                <w:lang w:val="en-US" w:eastAsia="zh-CN"/>
              </w:rPr>
              <w:t>B组分</w:t>
            </w:r>
            <w:r>
              <w:rPr>
                <w:rFonts w:hint="default" w:ascii="Times New Roman" w:hAnsi="Times New Roman" w:cs="Times New Roman"/>
                <w:color w:val="auto"/>
                <w:kern w:val="24"/>
                <w:sz w:val="24"/>
                <w:szCs w:val="24"/>
                <w:highlight w:val="none"/>
              </w:rPr>
              <w:t>=</w:t>
            </w:r>
            <w:r>
              <w:rPr>
                <w:rFonts w:hint="eastAsia" w:cs="Times New Roman"/>
                <w:color w:val="auto"/>
                <w:kern w:val="24"/>
                <w:sz w:val="24"/>
                <w:szCs w:val="24"/>
                <w:highlight w:val="none"/>
                <w:lang w:val="en-US" w:eastAsia="zh-CN"/>
              </w:rPr>
              <w:t>4</w:t>
            </w:r>
            <w:r>
              <w:rPr>
                <w:rFonts w:hint="default" w:ascii="Times New Roman" w:hAnsi="Times New Roman" w:cs="Times New Roman"/>
                <w:color w:val="auto"/>
                <w:kern w:val="24"/>
                <w:sz w:val="24"/>
                <w:szCs w:val="24"/>
                <w:highlight w:val="none"/>
              </w:rPr>
              <w:t>：1</w:t>
            </w:r>
            <w:r>
              <w:rPr>
                <w:rFonts w:hint="eastAsia" w:cs="Times New Roman"/>
                <w:color w:val="auto"/>
                <w:kern w:val="24"/>
                <w:sz w:val="24"/>
                <w:szCs w:val="24"/>
                <w:highlight w:val="none"/>
                <w:lang w:eastAsia="zh-CN"/>
              </w:rPr>
              <w:t>，</w:t>
            </w:r>
            <w:r>
              <w:rPr>
                <w:color w:val="auto"/>
                <w:spacing w:val="-6"/>
                <w:sz w:val="24"/>
                <w:szCs w:val="24"/>
                <w:highlight w:val="none"/>
              </w:rPr>
              <w:t>稀释剂约占工作漆料10%（质量比）</w:t>
            </w:r>
            <w:r>
              <w:rPr>
                <w:rFonts w:hint="default" w:ascii="Times New Roman" w:hAnsi="Times New Roman" w:cs="Times New Roman"/>
                <w:color w:val="auto"/>
                <w:kern w:val="24"/>
                <w:sz w:val="24"/>
                <w:szCs w:val="24"/>
                <w:highlight w:val="none"/>
              </w:rPr>
              <w:t>。</w:t>
            </w:r>
            <w:r>
              <w:rPr>
                <w:rFonts w:ascii="Times New Roman" w:hAnsi="Times New Roman" w:cs="Times New Roman"/>
                <w:color w:val="auto"/>
                <w:sz w:val="24"/>
                <w:szCs w:val="24"/>
                <w:highlight w:val="none"/>
              </w:rPr>
              <w:t>环氧有机富锌底漆</w:t>
            </w:r>
            <w:r>
              <w:rPr>
                <w:rFonts w:hint="eastAsia" w:ascii="Times New Roman" w:hAnsi="Times New Roman" w:cs="Times New Roman"/>
                <w:color w:val="auto"/>
                <w:sz w:val="24"/>
                <w:szCs w:val="24"/>
                <w:highlight w:val="none"/>
                <w:lang w:val="en-US" w:eastAsia="zh-CN"/>
              </w:rPr>
              <w:t>A组分</w:t>
            </w:r>
            <w:r>
              <w:rPr>
                <w:rFonts w:hint="default" w:ascii="Times New Roman" w:hAnsi="Times New Roman" w:cs="Times New Roman"/>
                <w:color w:val="auto"/>
                <w:kern w:val="24"/>
                <w:sz w:val="24"/>
                <w:szCs w:val="24"/>
                <w:highlight w:val="none"/>
              </w:rPr>
              <w:t>的密度为1.</w:t>
            </w:r>
            <w:r>
              <w:rPr>
                <w:rFonts w:hint="eastAsia" w:cs="Times New Roman"/>
                <w:color w:val="auto"/>
                <w:kern w:val="24"/>
                <w:sz w:val="24"/>
                <w:szCs w:val="24"/>
                <w:highlight w:val="none"/>
                <w:lang w:val="en-US" w:eastAsia="zh-CN"/>
              </w:rPr>
              <w:t>3943</w:t>
            </w:r>
            <w:r>
              <w:rPr>
                <w:rFonts w:hint="default" w:ascii="Times New Roman" w:hAnsi="Times New Roman" w:cs="Times New Roman"/>
                <w:color w:val="auto"/>
                <w:sz w:val="24"/>
                <w:szCs w:val="24"/>
                <w:highlight w:val="none"/>
              </w:rPr>
              <w:t>g/cm³，</w:t>
            </w:r>
            <w:r>
              <w:rPr>
                <w:rFonts w:ascii="Times New Roman" w:hAnsi="Times New Roman" w:cs="Times New Roman"/>
                <w:color w:val="auto"/>
                <w:sz w:val="24"/>
                <w:szCs w:val="24"/>
                <w:highlight w:val="none"/>
              </w:rPr>
              <w:t>环氧有机富锌底漆</w:t>
            </w:r>
            <w:r>
              <w:rPr>
                <w:rFonts w:hint="eastAsia" w:ascii="Times New Roman" w:hAnsi="Times New Roman" w:cs="Times New Roman"/>
                <w:color w:val="auto"/>
                <w:sz w:val="24"/>
                <w:szCs w:val="24"/>
                <w:highlight w:val="none"/>
                <w:lang w:val="en-US" w:eastAsia="zh-CN"/>
              </w:rPr>
              <w:t>B组分</w:t>
            </w:r>
            <w:r>
              <w:rPr>
                <w:rFonts w:hint="default" w:ascii="Times New Roman" w:hAnsi="Times New Roman" w:cs="Times New Roman"/>
                <w:color w:val="auto"/>
                <w:sz w:val="24"/>
                <w:szCs w:val="24"/>
                <w:highlight w:val="none"/>
              </w:rPr>
              <w:t>的密度为</w:t>
            </w:r>
            <w:r>
              <w:rPr>
                <w:rFonts w:hint="eastAsia" w:cs="Times New Roman"/>
                <w:color w:val="auto"/>
                <w:sz w:val="24"/>
                <w:szCs w:val="24"/>
                <w:highlight w:val="none"/>
                <w:lang w:val="en-US" w:eastAsia="zh-CN"/>
              </w:rPr>
              <w:t>0.897</w:t>
            </w:r>
            <w:r>
              <w:rPr>
                <w:rFonts w:hint="default" w:ascii="Times New Roman" w:hAnsi="Times New Roman" w:cs="Times New Roman"/>
                <w:color w:val="auto"/>
                <w:sz w:val="24"/>
                <w:szCs w:val="24"/>
                <w:highlight w:val="none"/>
              </w:rPr>
              <w:t>g/cm³，</w:t>
            </w:r>
            <w:r>
              <w:rPr>
                <w:rFonts w:hint="eastAsia" w:cs="Times New Roman"/>
                <w:color w:val="auto"/>
                <w:sz w:val="24"/>
                <w:szCs w:val="24"/>
                <w:highlight w:val="none"/>
                <w:lang w:val="en-US" w:eastAsia="zh-CN"/>
              </w:rPr>
              <w:t>稀释</w:t>
            </w:r>
            <w:r>
              <w:rPr>
                <w:rFonts w:hint="default" w:ascii="Times New Roman" w:hAnsi="Times New Roman" w:cs="Times New Roman"/>
                <w:color w:val="auto"/>
                <w:sz w:val="24"/>
                <w:szCs w:val="24"/>
                <w:highlight w:val="none"/>
              </w:rPr>
              <w:t>剂密度为</w:t>
            </w:r>
            <w:r>
              <w:rPr>
                <w:rFonts w:hint="default" w:ascii="Times New Roman" w:hAnsi="Times New Roman" w:cs="Times New Roman"/>
                <w:color w:val="auto"/>
                <w:kern w:val="24"/>
                <w:sz w:val="24"/>
                <w:szCs w:val="24"/>
                <w:highlight w:val="none"/>
              </w:rPr>
              <w:t>0.</w:t>
            </w:r>
            <w:r>
              <w:rPr>
                <w:rFonts w:hint="eastAsia" w:cs="Times New Roman"/>
                <w:color w:val="auto"/>
                <w:kern w:val="24"/>
                <w:sz w:val="24"/>
                <w:szCs w:val="24"/>
                <w:highlight w:val="none"/>
                <w:lang w:val="en-US" w:eastAsia="zh-CN"/>
              </w:rPr>
              <w:t>8274</w:t>
            </w:r>
            <w:r>
              <w:rPr>
                <w:rFonts w:hint="default" w:ascii="Times New Roman" w:hAnsi="Times New Roman" w:cs="Times New Roman"/>
                <w:color w:val="auto"/>
                <w:sz w:val="24"/>
                <w:szCs w:val="24"/>
                <w:highlight w:val="none"/>
              </w:rPr>
              <w:t>g/cm³。因此，工作状态下各漆料的质量比为</w:t>
            </w:r>
            <w:r>
              <w:rPr>
                <w:rFonts w:hint="eastAsia" w:cs="Times New Roman"/>
                <w:color w:val="auto"/>
                <w:kern w:val="24"/>
                <w:sz w:val="24"/>
                <w:szCs w:val="24"/>
                <w:highlight w:val="none"/>
                <w:lang w:val="en-US" w:eastAsia="zh-CN"/>
              </w:rPr>
              <w:t>A组分</w:t>
            </w:r>
            <w:r>
              <w:rPr>
                <w:rFonts w:hint="default" w:ascii="Times New Roman" w:hAnsi="Times New Roman" w:cs="Times New Roman"/>
                <w:color w:val="auto"/>
                <w:kern w:val="24"/>
                <w:sz w:val="24"/>
                <w:szCs w:val="24"/>
                <w:highlight w:val="none"/>
              </w:rPr>
              <w:t>：</w:t>
            </w:r>
            <w:r>
              <w:rPr>
                <w:rFonts w:hint="eastAsia" w:cs="Times New Roman"/>
                <w:color w:val="auto"/>
                <w:kern w:val="24"/>
                <w:sz w:val="24"/>
                <w:szCs w:val="24"/>
                <w:highlight w:val="none"/>
                <w:lang w:val="en-US" w:eastAsia="zh-CN"/>
              </w:rPr>
              <w:t>B组</w:t>
            </w:r>
            <w:r>
              <w:rPr>
                <w:rFonts w:hint="eastAsia" w:cs="Times New Roman"/>
                <w:b w:val="0"/>
                <w:bCs w:val="0"/>
                <w:color w:val="auto"/>
                <w:kern w:val="24"/>
                <w:sz w:val="24"/>
                <w:szCs w:val="24"/>
                <w:highlight w:val="none"/>
                <w:lang w:val="en-US" w:eastAsia="zh-CN"/>
              </w:rPr>
              <w:t>分</w:t>
            </w:r>
            <w:r>
              <w:rPr>
                <w:rFonts w:hint="default" w:ascii="Times New Roman" w:hAnsi="Times New Roman" w:cs="Times New Roman"/>
                <w:b w:val="0"/>
                <w:bCs w:val="0"/>
                <w:color w:val="auto"/>
                <w:kern w:val="24"/>
                <w:sz w:val="24"/>
                <w:szCs w:val="24"/>
                <w:highlight w:val="none"/>
              </w:rPr>
              <w:t>：</w:t>
            </w:r>
            <w:r>
              <w:rPr>
                <w:rFonts w:hint="eastAsia" w:cs="Times New Roman"/>
                <w:b w:val="0"/>
                <w:bCs w:val="0"/>
                <w:color w:val="auto"/>
                <w:kern w:val="24"/>
                <w:sz w:val="24"/>
                <w:szCs w:val="24"/>
                <w:highlight w:val="none"/>
                <w:lang w:val="en-US" w:eastAsia="zh-CN"/>
              </w:rPr>
              <w:t>稀释剂</w:t>
            </w:r>
            <w:r>
              <w:rPr>
                <w:rFonts w:hint="default" w:ascii="Times New Roman" w:hAnsi="Times New Roman" w:cs="Times New Roman"/>
                <w:b w:val="0"/>
                <w:bCs w:val="0"/>
                <w:color w:val="auto"/>
                <w:kern w:val="24"/>
                <w:sz w:val="24"/>
                <w:szCs w:val="24"/>
                <w:highlight w:val="none"/>
              </w:rPr>
              <w:t>=</w:t>
            </w:r>
            <w:r>
              <w:rPr>
                <w:rFonts w:hint="eastAsia" w:cs="Times New Roman"/>
                <w:b w:val="0"/>
                <w:bCs w:val="0"/>
                <w:color w:val="auto"/>
                <w:kern w:val="24"/>
                <w:sz w:val="24"/>
                <w:szCs w:val="24"/>
                <w:highlight w:val="none"/>
                <w:lang w:val="en-US" w:eastAsia="zh-CN"/>
              </w:rPr>
              <w:t>55.8</w:t>
            </w:r>
            <w:r>
              <w:rPr>
                <w:rFonts w:hint="default"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val="en-US" w:eastAsia="zh-CN"/>
              </w:rPr>
              <w:t>7.2</w:t>
            </w:r>
            <w:r>
              <w:rPr>
                <w:rFonts w:hint="default" w:ascii="Times New Roman" w:hAnsi="Times New Roman" w:eastAsia="宋体" w:cs="Times New Roman"/>
                <w:b w:val="0"/>
                <w:bCs w:val="0"/>
                <w:color w:val="auto"/>
                <w:sz w:val="24"/>
                <w:szCs w:val="24"/>
                <w:highlight w:val="none"/>
              </w:rPr>
              <w:t>。</w:t>
            </w:r>
            <w:r>
              <w:rPr>
                <w:rFonts w:hint="eastAsia" w:cs="Times New Roman"/>
                <w:b w:val="0"/>
                <w:bCs w:val="0"/>
                <w:color w:val="auto"/>
                <w:sz w:val="24"/>
                <w:szCs w:val="24"/>
                <w:highlight w:val="none"/>
                <w:lang w:val="en-US" w:eastAsia="zh-CN"/>
              </w:rPr>
              <w:t>本项目环氧富锌底漆、稀释剂调配后</w:t>
            </w:r>
            <w:r>
              <w:rPr>
                <w:rFonts w:hint="default" w:ascii="Times New Roman" w:hAnsi="Times New Roman" w:cs="Times New Roman"/>
                <w:b w:val="0"/>
                <w:bCs w:val="0"/>
                <w:color w:val="auto"/>
                <w:sz w:val="24"/>
                <w:szCs w:val="24"/>
                <w:highlight w:val="none"/>
              </w:rPr>
              <w:t>工作状态下油性底漆密度</w:t>
            </w:r>
            <w:r>
              <w:rPr>
                <w:rFonts w:hint="eastAsia" w:cs="Times New Roman"/>
                <w:b w:val="0"/>
                <w:bCs w:val="0"/>
                <w:color w:val="auto"/>
                <w:sz w:val="24"/>
                <w:szCs w:val="24"/>
                <w:highlight w:val="none"/>
                <w:lang w:val="en-US" w:eastAsia="zh-CN"/>
              </w:rPr>
              <w:t>=质量/体积=（</w:t>
            </w:r>
            <w:r>
              <w:rPr>
                <w:rFonts w:hint="eastAsia" w:cs="Times New Roman"/>
                <w:b w:val="0"/>
                <w:bCs w:val="0"/>
                <w:color w:val="auto"/>
                <w:kern w:val="24"/>
                <w:sz w:val="24"/>
                <w:szCs w:val="24"/>
                <w:highlight w:val="none"/>
                <w:lang w:val="en-US" w:eastAsia="zh-CN"/>
              </w:rPr>
              <w:t>55.8+</w:t>
            </w:r>
            <w:r>
              <w:rPr>
                <w:rFonts w:hint="eastAsia" w:ascii="Times New Roman" w:hAnsi="Times New Roman" w:eastAsia="宋体" w:cs="Times New Roman"/>
                <w:b w:val="0"/>
                <w:bCs w:val="0"/>
                <w:color w:val="auto"/>
                <w:sz w:val="24"/>
                <w:szCs w:val="24"/>
                <w:highlight w:val="none"/>
                <w:lang w:val="en-US" w:eastAsia="zh-CN"/>
              </w:rPr>
              <w:t>9</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7.2</w:t>
            </w:r>
            <w:r>
              <w:rPr>
                <w:rFonts w:hint="eastAsia" w:cs="Times New Roman"/>
                <w:b w:val="0"/>
                <w:bCs w:val="0"/>
                <w:color w:val="auto"/>
                <w:sz w:val="24"/>
                <w:szCs w:val="24"/>
                <w:highlight w:val="none"/>
                <w:lang w:val="en-US" w:eastAsia="zh-CN"/>
              </w:rPr>
              <w:t>）/[（55.8/1.3942）+（9/0.897）+（7.2/0.8274）]=1.226</w:t>
            </w:r>
            <w:r>
              <w:rPr>
                <w:rFonts w:hint="default" w:ascii="Times New Roman" w:hAnsi="Times New Roman" w:cs="Times New Roman"/>
                <w:b w:val="0"/>
                <w:bCs w:val="0"/>
                <w:color w:val="auto"/>
                <w:sz w:val="24"/>
                <w:szCs w:val="24"/>
                <w:highlight w:val="none"/>
              </w:rPr>
              <w:t>kg/L</w:t>
            </w:r>
            <w:r>
              <w:rPr>
                <w:rFonts w:hint="eastAsia" w:cs="Times New Roman"/>
                <w:b w:val="0"/>
                <w:bCs w:val="0"/>
                <w:color w:val="auto"/>
                <w:sz w:val="24"/>
                <w:szCs w:val="24"/>
                <w:highlight w:val="none"/>
                <w:lang w:eastAsia="zh-CN"/>
              </w:rPr>
              <w:t>。</w:t>
            </w:r>
          </w:p>
          <w:p>
            <w:pPr>
              <w:spacing w:line="360" w:lineRule="auto"/>
              <w:ind w:firstLine="480" w:firstLineChars="200"/>
              <w:rPr>
                <w:rFonts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含固率</w:t>
            </w:r>
            <w:r>
              <w:rPr>
                <w:rFonts w:hint="eastAsia" w:cs="Times New Roman"/>
                <w:b w:val="0"/>
                <w:bCs w:val="0"/>
                <w:color w:val="auto"/>
                <w:sz w:val="24"/>
                <w:szCs w:val="24"/>
                <w:highlight w:val="none"/>
                <w:lang w:val="en-US" w:eastAsia="zh-CN"/>
              </w:rPr>
              <w:t>=（55.8×</w:t>
            </w:r>
            <w:r>
              <w:rPr>
                <w:rFonts w:hint="eastAsia" w:cs="Times New Roman"/>
                <w:b w:val="0"/>
                <w:bCs w:val="0"/>
                <w:color w:val="auto"/>
                <w:sz w:val="24"/>
                <w:szCs w:val="24"/>
                <w:highlight w:val="none"/>
                <w:lang w:val="en-US" w:eastAsia="zh-CN"/>
              </w:rPr>
              <w:t>78%</w:t>
            </w:r>
            <w:r>
              <w:rPr>
                <w:rFonts w:hint="eastAsia" w:cs="Times New Roman"/>
                <w:b w:val="0"/>
                <w:bCs w:val="0"/>
                <w:color w:val="auto"/>
                <w:sz w:val="24"/>
                <w:szCs w:val="24"/>
                <w:highlight w:val="none"/>
                <w:lang w:val="en-US" w:eastAsia="zh-CN"/>
              </w:rPr>
              <w:t>+9×</w:t>
            </w:r>
            <w:r>
              <w:rPr>
                <w:rFonts w:hint="eastAsia" w:cs="Times New Roman"/>
                <w:b w:val="0"/>
                <w:bCs w:val="0"/>
                <w:color w:val="auto"/>
                <w:sz w:val="24"/>
                <w:szCs w:val="24"/>
                <w:highlight w:val="none"/>
                <w:lang w:val="en-US" w:eastAsia="zh-CN"/>
              </w:rPr>
              <w:t>27%</w:t>
            </w:r>
            <w:r>
              <w:rPr>
                <w:rFonts w:hint="eastAsia" w:cs="Times New Roman"/>
                <w:b w:val="0"/>
                <w:bCs w:val="0"/>
                <w:color w:val="auto"/>
                <w:sz w:val="24"/>
                <w:szCs w:val="24"/>
                <w:highlight w:val="none"/>
                <w:lang w:val="en-US" w:eastAsia="zh-CN"/>
              </w:rPr>
              <w:t>）/（</w:t>
            </w:r>
            <w:r>
              <w:rPr>
                <w:rFonts w:hint="eastAsia" w:cs="Times New Roman"/>
                <w:b w:val="0"/>
                <w:bCs w:val="0"/>
                <w:color w:val="auto"/>
                <w:kern w:val="24"/>
                <w:sz w:val="24"/>
                <w:szCs w:val="24"/>
                <w:highlight w:val="none"/>
                <w:lang w:val="en-US" w:eastAsia="zh-CN"/>
              </w:rPr>
              <w:t>55.8+</w:t>
            </w:r>
            <w:r>
              <w:rPr>
                <w:rFonts w:hint="eastAsia" w:ascii="Times New Roman" w:hAnsi="Times New Roman" w:eastAsia="宋体" w:cs="Times New Roman"/>
                <w:b w:val="0"/>
                <w:bCs w:val="0"/>
                <w:color w:val="auto"/>
                <w:sz w:val="24"/>
                <w:szCs w:val="24"/>
                <w:highlight w:val="none"/>
                <w:lang w:val="en-US" w:eastAsia="zh-CN"/>
              </w:rPr>
              <w:t>9</w:t>
            </w:r>
            <w:r>
              <w:rPr>
                <w:rFonts w:hint="eastAsia"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7.2</w:t>
            </w:r>
            <w:r>
              <w:rPr>
                <w:rFonts w:hint="eastAsia" w:cs="Times New Roman"/>
                <w:b w:val="0"/>
                <w:bCs w:val="0"/>
                <w:color w:val="auto"/>
                <w:sz w:val="24"/>
                <w:szCs w:val="24"/>
                <w:highlight w:val="none"/>
                <w:lang w:val="en-US" w:eastAsia="zh-CN"/>
              </w:rPr>
              <w:t>）=63.8</w:t>
            </w:r>
            <w:r>
              <w:rPr>
                <w:rFonts w:hint="default" w:ascii="Times New Roman" w:hAnsi="Times New Roman" w:cs="Times New Roman"/>
                <w:b w:val="0"/>
                <w:bCs w:val="0"/>
                <w:color w:val="auto"/>
                <w:sz w:val="24"/>
                <w:szCs w:val="24"/>
                <w:highlight w:val="none"/>
              </w:rPr>
              <w:t>%，VOCs占比为</w:t>
            </w:r>
            <w:r>
              <w:rPr>
                <w:rFonts w:hint="eastAsia" w:cs="Times New Roman"/>
                <w:b w:val="0"/>
                <w:bCs w:val="0"/>
                <w:color w:val="auto"/>
                <w:sz w:val="24"/>
                <w:szCs w:val="24"/>
                <w:highlight w:val="none"/>
                <w:lang w:val="en-US" w:eastAsia="zh-CN"/>
              </w:rPr>
              <w:t>36.2</w:t>
            </w:r>
            <w:r>
              <w:rPr>
                <w:rFonts w:hint="default" w:ascii="Times New Roman" w:hAnsi="Times New Roman" w:cs="Times New Roman"/>
                <w:b w:val="0"/>
                <w:bCs w:val="0"/>
                <w:color w:val="auto"/>
                <w:sz w:val="24"/>
                <w:szCs w:val="24"/>
                <w:highlight w:val="none"/>
              </w:rPr>
              <w:t>%</w:t>
            </w:r>
            <w:r>
              <w:rPr>
                <w:rFonts w:hint="eastAsia"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则VOC</w:t>
            </w:r>
            <w:r>
              <w:rPr>
                <w:rFonts w:hint="eastAsia" w:ascii="Times New Roman" w:hAnsi="Times New Roman" w:cs="Times New Roman"/>
                <w:b w:val="0"/>
                <w:bCs w:val="0"/>
                <w:color w:val="auto"/>
                <w:sz w:val="24"/>
                <w:szCs w:val="24"/>
                <w:highlight w:val="none"/>
                <w:lang w:val="en-US" w:eastAsia="zh-CN"/>
              </w:rPr>
              <w:t>s</w:t>
            </w:r>
            <w:r>
              <w:rPr>
                <w:rFonts w:hint="default" w:ascii="Times New Roman" w:hAnsi="Times New Roman" w:cs="Times New Roman"/>
                <w:b w:val="0"/>
                <w:bCs w:val="0"/>
                <w:color w:val="auto"/>
                <w:sz w:val="24"/>
                <w:szCs w:val="24"/>
                <w:highlight w:val="none"/>
              </w:rPr>
              <w:t>含量=1</w:t>
            </w:r>
            <w:r>
              <w:rPr>
                <w:rFonts w:hint="eastAsia" w:cs="Times New Roman"/>
                <w:b w:val="0"/>
                <w:bCs w:val="0"/>
                <w:color w:val="auto"/>
                <w:sz w:val="24"/>
                <w:szCs w:val="24"/>
                <w:highlight w:val="none"/>
                <w:lang w:val="en-US" w:eastAsia="zh-CN"/>
              </w:rPr>
              <w:t>226</w:t>
            </w:r>
            <w:r>
              <w:rPr>
                <w:rFonts w:hint="default" w:ascii="Times New Roman" w:hAnsi="Times New Roman" w:cs="Times New Roman"/>
                <w:b w:val="0"/>
                <w:bCs w:val="0"/>
                <w:color w:val="auto"/>
                <w:sz w:val="24"/>
                <w:szCs w:val="24"/>
                <w:highlight w:val="none"/>
              </w:rPr>
              <w:t>g×</w:t>
            </w:r>
            <w:r>
              <w:rPr>
                <w:rFonts w:hint="eastAsia" w:cs="Times New Roman"/>
                <w:b w:val="0"/>
                <w:bCs w:val="0"/>
                <w:color w:val="auto"/>
                <w:sz w:val="24"/>
                <w:szCs w:val="24"/>
                <w:highlight w:val="none"/>
                <w:lang w:val="en-US" w:eastAsia="zh-CN"/>
              </w:rPr>
              <w:t>35.5</w:t>
            </w:r>
            <w:r>
              <w:rPr>
                <w:rFonts w:hint="default" w:ascii="Times New Roman" w:hAnsi="Times New Roman" w:cs="Times New Roman"/>
                <w:b w:val="0"/>
                <w:bCs w:val="0"/>
                <w:color w:val="auto"/>
                <w:sz w:val="24"/>
                <w:szCs w:val="24"/>
                <w:highlight w:val="none"/>
              </w:rPr>
              <w:t>%</w:t>
            </w:r>
            <w:r>
              <w:rPr>
                <w:rFonts w:hint="default" w:ascii="Times New Roman" w:hAnsi="Times New Roman" w:cs="Times New Roman"/>
                <w:b w:val="0"/>
                <w:bCs w:val="0"/>
                <w:color w:val="auto"/>
                <w:sz w:val="24"/>
                <w:szCs w:val="24"/>
                <w:highlight w:val="none"/>
              </w:rPr>
              <w:t>÷1L=</w:t>
            </w:r>
            <w:r>
              <w:rPr>
                <w:rFonts w:hint="eastAsia" w:cs="Times New Roman"/>
                <w:b w:val="0"/>
                <w:bCs w:val="0"/>
                <w:color w:val="auto"/>
                <w:sz w:val="24"/>
                <w:szCs w:val="24"/>
                <w:highlight w:val="none"/>
                <w:lang w:val="en-US" w:eastAsia="zh-CN"/>
              </w:rPr>
              <w:t>435g</w:t>
            </w:r>
            <w:r>
              <w:rPr>
                <w:rFonts w:hint="default" w:ascii="Times New Roman" w:hAnsi="Times New Roman" w:cs="Times New Roman"/>
                <w:b w:val="0"/>
                <w:bCs w:val="0"/>
                <w:color w:val="auto"/>
                <w:sz w:val="24"/>
                <w:szCs w:val="24"/>
                <w:highlight w:val="none"/>
              </w:rPr>
              <w:t>/L。</w:t>
            </w:r>
          </w:p>
          <w:p>
            <w:pPr>
              <w:spacing w:line="360" w:lineRule="auto"/>
              <w:ind w:firstLine="480" w:firstLineChars="200"/>
              <w:rPr>
                <w:rFonts w:hint="eastAsia" w:ascii="Times New Roman" w:hAnsi="Times New Roman" w:eastAsia="宋体" w:cs="Times New Roman"/>
                <w:b w:val="0"/>
                <w:bCs w:val="0"/>
                <w:color w:val="auto"/>
                <w:sz w:val="24"/>
                <w:szCs w:val="24"/>
                <w:highlight w:val="none"/>
                <w:lang w:eastAsia="zh-CN"/>
              </w:rPr>
            </w:pPr>
            <w:r>
              <w:rPr>
                <w:rFonts w:ascii="Times New Roman" w:hAnsi="Times New Roman" w:cs="Times New Roman"/>
                <w:b w:val="0"/>
                <w:bCs w:val="0"/>
                <w:color w:val="auto"/>
                <w:szCs w:val="21"/>
                <w:highlight w:val="none"/>
              </w:rPr>
              <w:t>环氧云母氧化铁漆A组分</w:t>
            </w:r>
            <w:r>
              <w:rPr>
                <w:rFonts w:hint="eastAsia" w:ascii="Times New Roman" w:hAnsi="Times New Roman" w:eastAsia="宋体" w:cs="Times New Roman"/>
                <w:b w:val="0"/>
                <w:bCs w:val="0"/>
                <w:color w:val="auto"/>
                <w:szCs w:val="21"/>
                <w:highlight w:val="none"/>
                <w:lang w:val="en-US" w:eastAsia="zh-CN"/>
              </w:rPr>
              <w:t>和</w:t>
            </w:r>
            <w:r>
              <w:rPr>
                <w:rFonts w:ascii="Times New Roman" w:hAnsi="Times New Roman" w:eastAsia="宋体" w:cs="Times New Roman"/>
                <w:b w:val="0"/>
                <w:bCs w:val="0"/>
                <w:color w:val="auto"/>
                <w:szCs w:val="21"/>
                <w:highlight w:val="none"/>
              </w:rPr>
              <w:t>B组分</w:t>
            </w:r>
            <w:r>
              <w:rPr>
                <w:rFonts w:hint="default" w:ascii="Times New Roman" w:hAnsi="Times New Roman" w:eastAsia="宋体" w:cs="Times New Roman"/>
                <w:b w:val="0"/>
                <w:bCs w:val="0"/>
                <w:color w:val="auto"/>
                <w:szCs w:val="21"/>
                <w:highlight w:val="none"/>
              </w:rPr>
              <w:t>工作时配比关系为体积比，具体比例为</w:t>
            </w:r>
            <w:r>
              <w:rPr>
                <w:rFonts w:ascii="Times New Roman" w:hAnsi="Times New Roman" w:cs="Times New Roman"/>
                <w:b w:val="0"/>
                <w:bCs w:val="0"/>
                <w:color w:val="auto"/>
                <w:szCs w:val="21"/>
                <w:highlight w:val="none"/>
              </w:rPr>
              <w:t>环氧云母氧化铁漆A组分</w:t>
            </w:r>
            <w:r>
              <w:rPr>
                <w:rFonts w:hint="default" w:ascii="Times New Roman" w:hAnsi="Times New Roman" w:eastAsia="宋体" w:cs="Times New Roman"/>
                <w:b w:val="0"/>
                <w:bCs w:val="0"/>
                <w:color w:val="auto"/>
                <w:szCs w:val="21"/>
                <w:highlight w:val="none"/>
              </w:rPr>
              <w:t>：</w:t>
            </w:r>
            <w:r>
              <w:rPr>
                <w:rFonts w:ascii="Times New Roman" w:hAnsi="Times New Roman" w:cs="Times New Roman"/>
                <w:b w:val="0"/>
                <w:bCs w:val="0"/>
                <w:color w:val="auto"/>
                <w:szCs w:val="21"/>
                <w:highlight w:val="none"/>
              </w:rPr>
              <w:t>环氧云母氧化铁漆</w:t>
            </w:r>
            <w:r>
              <w:rPr>
                <w:rFonts w:hint="eastAsia" w:ascii="Times New Roman" w:hAnsi="Times New Roman" w:eastAsia="宋体" w:cs="Times New Roman"/>
                <w:b w:val="0"/>
                <w:bCs w:val="0"/>
                <w:color w:val="auto"/>
                <w:szCs w:val="21"/>
                <w:highlight w:val="none"/>
                <w:lang w:val="en-US" w:eastAsia="zh-CN"/>
              </w:rPr>
              <w:t>B组分</w:t>
            </w:r>
            <w:r>
              <w:rPr>
                <w:rFonts w:hint="default" w:ascii="Times New Roman" w:hAnsi="Times New Roman" w:eastAsia="宋体" w:cs="Times New Roman"/>
                <w:b w:val="0"/>
                <w:bCs w:val="0"/>
                <w:color w:val="auto"/>
                <w:szCs w:val="21"/>
                <w:highlight w:val="none"/>
              </w:rPr>
              <w:t>=</w:t>
            </w:r>
            <w:r>
              <w:rPr>
                <w:rFonts w:hint="eastAsia" w:ascii="Times New Roman" w:hAnsi="Times New Roman" w:eastAsia="宋体" w:cs="Times New Roman"/>
                <w:b w:val="0"/>
                <w:bCs w:val="0"/>
                <w:color w:val="auto"/>
                <w:szCs w:val="21"/>
                <w:highlight w:val="none"/>
                <w:lang w:val="en-US" w:eastAsia="zh-CN"/>
              </w:rPr>
              <w:t>4</w:t>
            </w:r>
            <w:r>
              <w:rPr>
                <w:rFonts w:hint="default" w:ascii="Times New Roman" w:hAnsi="Times New Roman" w:eastAsia="宋体" w:cs="Times New Roman"/>
                <w:b w:val="0"/>
                <w:bCs w:val="0"/>
                <w:color w:val="auto"/>
                <w:szCs w:val="21"/>
                <w:highlight w:val="none"/>
              </w:rPr>
              <w:t>：1</w:t>
            </w:r>
            <w:r>
              <w:rPr>
                <w:rFonts w:hint="eastAsia" w:ascii="Times New Roman" w:hAnsi="Times New Roman" w:eastAsia="宋体" w:cs="Times New Roman"/>
                <w:b w:val="0"/>
                <w:bCs w:val="0"/>
                <w:color w:val="auto"/>
                <w:szCs w:val="21"/>
                <w:highlight w:val="none"/>
                <w:lang w:eastAsia="zh-CN"/>
              </w:rPr>
              <w:t>，</w:t>
            </w:r>
            <w:r>
              <w:rPr>
                <w:rFonts w:ascii="Times New Roman" w:hAnsi="Times New Roman" w:eastAsia="宋体" w:cs="Times New Roman"/>
                <w:b w:val="0"/>
                <w:bCs w:val="0"/>
                <w:color w:val="auto"/>
                <w:szCs w:val="21"/>
                <w:highlight w:val="none"/>
              </w:rPr>
              <w:t>稀释剂约占工作漆料10%（质量比）</w:t>
            </w:r>
            <w:r>
              <w:rPr>
                <w:rFonts w:hint="default" w:ascii="Times New Roman" w:hAnsi="Times New Roman" w:eastAsia="宋体" w:cs="Times New Roman"/>
                <w:b w:val="0"/>
                <w:bCs w:val="0"/>
                <w:color w:val="auto"/>
                <w:szCs w:val="21"/>
                <w:highlight w:val="none"/>
              </w:rPr>
              <w:t>。</w:t>
            </w:r>
            <w:r>
              <w:rPr>
                <w:rFonts w:ascii="Times New Roman" w:hAnsi="Times New Roman" w:cs="Times New Roman"/>
                <w:b w:val="0"/>
                <w:bCs w:val="0"/>
                <w:color w:val="auto"/>
                <w:szCs w:val="21"/>
                <w:highlight w:val="none"/>
              </w:rPr>
              <w:t>环氧云母氧化铁漆A组分</w:t>
            </w:r>
            <w:r>
              <w:rPr>
                <w:rFonts w:hint="default" w:ascii="Times New Roman" w:hAnsi="Times New Roman" w:eastAsia="宋体" w:cs="Times New Roman"/>
                <w:b w:val="0"/>
                <w:bCs w:val="0"/>
                <w:color w:val="auto"/>
                <w:szCs w:val="21"/>
                <w:highlight w:val="none"/>
              </w:rPr>
              <w:t>的密度为1.</w:t>
            </w:r>
            <w:r>
              <w:rPr>
                <w:rFonts w:hint="eastAsia" w:ascii="Times New Roman" w:hAnsi="Times New Roman" w:eastAsia="宋体" w:cs="Times New Roman"/>
                <w:b w:val="0"/>
                <w:bCs w:val="0"/>
                <w:color w:val="auto"/>
                <w:szCs w:val="21"/>
                <w:highlight w:val="none"/>
                <w:lang w:val="en-US" w:eastAsia="zh-CN"/>
              </w:rPr>
              <w:t>67</w:t>
            </w:r>
            <w:r>
              <w:rPr>
                <w:rFonts w:hint="default" w:ascii="Times New Roman" w:hAnsi="Times New Roman" w:eastAsia="宋体" w:cs="Times New Roman"/>
                <w:b w:val="0"/>
                <w:bCs w:val="0"/>
                <w:color w:val="auto"/>
                <w:szCs w:val="21"/>
                <w:highlight w:val="none"/>
              </w:rPr>
              <w:t>g/cm³，</w:t>
            </w:r>
            <w:r>
              <w:rPr>
                <w:rFonts w:ascii="Times New Roman" w:hAnsi="Times New Roman" w:cs="Times New Roman"/>
                <w:b w:val="0"/>
                <w:bCs w:val="0"/>
                <w:color w:val="auto"/>
                <w:szCs w:val="21"/>
                <w:highlight w:val="none"/>
              </w:rPr>
              <w:t>环氧云母氧化铁漆</w:t>
            </w:r>
            <w:r>
              <w:rPr>
                <w:rFonts w:hint="eastAsia" w:ascii="Times New Roman" w:hAnsi="Times New Roman" w:cs="Times New Roman"/>
                <w:b w:val="0"/>
                <w:bCs w:val="0"/>
                <w:color w:val="auto"/>
                <w:szCs w:val="21"/>
                <w:highlight w:val="none"/>
                <w:lang w:val="en-US" w:eastAsia="zh-CN"/>
              </w:rPr>
              <w:t>B</w:t>
            </w:r>
            <w:r>
              <w:rPr>
                <w:rFonts w:ascii="Times New Roman" w:hAnsi="Times New Roman" w:cs="Times New Roman"/>
                <w:b w:val="0"/>
                <w:bCs w:val="0"/>
                <w:color w:val="auto"/>
                <w:szCs w:val="21"/>
                <w:highlight w:val="none"/>
              </w:rPr>
              <w:t>组分</w:t>
            </w:r>
            <w:r>
              <w:rPr>
                <w:rFonts w:hint="default" w:ascii="Times New Roman" w:hAnsi="Times New Roman" w:eastAsia="宋体" w:cs="Times New Roman"/>
                <w:b w:val="0"/>
                <w:bCs w:val="0"/>
                <w:color w:val="auto"/>
                <w:szCs w:val="21"/>
                <w:highlight w:val="none"/>
              </w:rPr>
              <w:t>的密度为</w:t>
            </w:r>
            <w:r>
              <w:rPr>
                <w:rFonts w:hint="eastAsia" w:ascii="Times New Roman" w:hAnsi="Times New Roman" w:eastAsia="宋体" w:cs="Times New Roman"/>
                <w:b w:val="0"/>
                <w:bCs w:val="0"/>
                <w:color w:val="auto"/>
                <w:szCs w:val="21"/>
                <w:highlight w:val="none"/>
                <w:lang w:val="en-US" w:eastAsia="zh-CN"/>
              </w:rPr>
              <w:t>0.97</w:t>
            </w:r>
            <w:r>
              <w:rPr>
                <w:rFonts w:hint="default" w:ascii="Times New Roman" w:hAnsi="Times New Roman" w:eastAsia="宋体" w:cs="Times New Roman"/>
                <w:b w:val="0"/>
                <w:bCs w:val="0"/>
                <w:color w:val="auto"/>
                <w:szCs w:val="21"/>
                <w:highlight w:val="none"/>
              </w:rPr>
              <w:t>g/cm³，稀释剂密度为0.</w:t>
            </w:r>
            <w:r>
              <w:rPr>
                <w:rFonts w:hint="eastAsia" w:ascii="Times New Roman" w:hAnsi="Times New Roman" w:eastAsia="宋体" w:cs="Times New Roman"/>
                <w:b w:val="0"/>
                <w:bCs w:val="0"/>
                <w:color w:val="auto"/>
                <w:szCs w:val="21"/>
                <w:highlight w:val="none"/>
                <w:lang w:val="en-US" w:eastAsia="zh-CN"/>
              </w:rPr>
              <w:t>8274</w:t>
            </w:r>
            <w:r>
              <w:rPr>
                <w:rFonts w:hint="default" w:ascii="Times New Roman" w:hAnsi="Times New Roman" w:eastAsia="宋体" w:cs="Times New Roman"/>
                <w:b w:val="0"/>
                <w:bCs w:val="0"/>
                <w:color w:val="auto"/>
                <w:szCs w:val="21"/>
                <w:highlight w:val="none"/>
              </w:rPr>
              <w:t>g/cm³。因此，工作状态下各漆料的质量比为</w:t>
            </w:r>
            <w:r>
              <w:rPr>
                <w:rFonts w:hint="eastAsia" w:cs="Times New Roman"/>
                <w:b w:val="0"/>
                <w:bCs w:val="0"/>
                <w:color w:val="auto"/>
                <w:szCs w:val="21"/>
                <w:highlight w:val="none"/>
                <w:lang w:val="en-US" w:eastAsia="zh-CN"/>
              </w:rPr>
              <w:t>A组分</w:t>
            </w:r>
            <w:r>
              <w:rPr>
                <w:rFonts w:hint="default" w:ascii="Times New Roman" w:hAnsi="Times New Roman" w:eastAsia="宋体" w:cs="Times New Roman"/>
                <w:b w:val="0"/>
                <w:bCs w:val="0"/>
                <w:color w:val="auto"/>
                <w:szCs w:val="21"/>
                <w:highlight w:val="none"/>
              </w:rPr>
              <w:t>：</w:t>
            </w:r>
            <w:r>
              <w:rPr>
                <w:rFonts w:hint="eastAsia" w:cs="Times New Roman"/>
                <w:b w:val="0"/>
                <w:bCs w:val="0"/>
                <w:color w:val="auto"/>
                <w:szCs w:val="21"/>
                <w:highlight w:val="none"/>
                <w:lang w:val="en-US" w:eastAsia="zh-CN"/>
              </w:rPr>
              <w:t>B组分</w:t>
            </w:r>
            <w:r>
              <w:rPr>
                <w:rFonts w:hint="default" w:ascii="Times New Roman" w:hAnsi="Times New Roman" w:eastAsia="宋体" w:cs="Times New Roman"/>
                <w:b w:val="0"/>
                <w:bCs w:val="0"/>
                <w:color w:val="auto"/>
                <w:szCs w:val="21"/>
                <w:highlight w:val="none"/>
              </w:rPr>
              <w:t>：</w:t>
            </w:r>
            <w:r>
              <w:rPr>
                <w:rFonts w:hint="eastAsia" w:cs="Times New Roman"/>
                <w:b w:val="0"/>
                <w:bCs w:val="0"/>
                <w:color w:val="auto"/>
                <w:szCs w:val="21"/>
                <w:highlight w:val="none"/>
                <w:lang w:val="en-US" w:eastAsia="zh-CN"/>
              </w:rPr>
              <w:t>稀释</w:t>
            </w:r>
            <w:r>
              <w:rPr>
                <w:rFonts w:hint="default" w:ascii="Times New Roman" w:hAnsi="Times New Roman" w:eastAsia="宋体" w:cs="Times New Roman"/>
                <w:b w:val="0"/>
                <w:bCs w:val="0"/>
                <w:color w:val="auto"/>
                <w:szCs w:val="21"/>
                <w:highlight w:val="none"/>
              </w:rPr>
              <w:t>剂=</w:t>
            </w:r>
            <w:r>
              <w:rPr>
                <w:rFonts w:hint="eastAsia" w:ascii="Times New Roman" w:hAnsi="Times New Roman" w:eastAsia="宋体" w:cs="Times New Roman"/>
                <w:b w:val="0"/>
                <w:bCs w:val="0"/>
                <w:color w:val="auto"/>
                <w:szCs w:val="21"/>
                <w:highlight w:val="none"/>
                <w:lang w:val="en-US" w:eastAsia="zh-CN"/>
              </w:rPr>
              <w:t>66.8</w:t>
            </w:r>
            <w:r>
              <w:rPr>
                <w:rFonts w:hint="default" w:ascii="Times New Roman" w:hAnsi="Times New Roman" w:eastAsia="宋体" w:cs="Times New Roman"/>
                <w:b w:val="0"/>
                <w:bCs w:val="0"/>
                <w:color w:val="auto"/>
                <w:szCs w:val="21"/>
                <w:highlight w:val="none"/>
              </w:rPr>
              <w:t>：</w:t>
            </w:r>
            <w:r>
              <w:rPr>
                <w:rFonts w:hint="eastAsia" w:ascii="Times New Roman" w:hAnsi="Times New Roman" w:eastAsia="宋体" w:cs="Times New Roman"/>
                <w:b w:val="0"/>
                <w:bCs w:val="0"/>
                <w:color w:val="auto"/>
                <w:sz w:val="24"/>
                <w:szCs w:val="24"/>
                <w:highlight w:val="none"/>
                <w:lang w:val="en-US" w:eastAsia="zh-CN"/>
              </w:rPr>
              <w:t>9.7</w:t>
            </w:r>
            <w:r>
              <w:rPr>
                <w:rFonts w:hint="default"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val="en-US" w:eastAsia="zh-CN"/>
              </w:rPr>
              <w:t>8.5</w:t>
            </w:r>
            <w:r>
              <w:rPr>
                <w:rFonts w:hint="default" w:ascii="Times New Roman" w:hAnsi="Times New Roman" w:eastAsia="宋体" w:cs="Times New Roman"/>
                <w:b w:val="0"/>
                <w:bCs w:val="0"/>
                <w:color w:val="auto"/>
                <w:sz w:val="24"/>
                <w:szCs w:val="24"/>
                <w:highlight w:val="none"/>
              </w:rPr>
              <w:t>。</w:t>
            </w:r>
          </w:p>
          <w:p>
            <w:pPr>
              <w:spacing w:line="360" w:lineRule="auto"/>
              <w:ind w:firstLine="480" w:firstLineChars="200"/>
              <w:rPr>
                <w:rFonts w:hint="eastAsia" w:cs="Times New Roman"/>
                <w:b w:val="0"/>
                <w:bCs w:val="0"/>
                <w:color w:val="auto"/>
                <w:sz w:val="24"/>
                <w:szCs w:val="24"/>
                <w:highlight w:val="none"/>
                <w:lang w:eastAsia="zh-CN"/>
              </w:rPr>
            </w:pPr>
            <w:r>
              <w:rPr>
                <w:rFonts w:hint="eastAsia" w:cs="Times New Roman"/>
                <w:b w:val="0"/>
                <w:bCs w:val="0"/>
                <w:color w:val="auto"/>
                <w:sz w:val="24"/>
                <w:szCs w:val="24"/>
                <w:highlight w:val="none"/>
                <w:lang w:val="en-US" w:eastAsia="zh-CN"/>
              </w:rPr>
              <w:t>本项目环氧云母氧化铁漆、稀释剂调配后</w:t>
            </w:r>
            <w:r>
              <w:rPr>
                <w:rFonts w:hint="default" w:ascii="Times New Roman" w:hAnsi="Times New Roman" w:cs="Times New Roman"/>
                <w:b w:val="0"/>
                <w:bCs w:val="0"/>
                <w:color w:val="auto"/>
                <w:sz w:val="24"/>
                <w:szCs w:val="24"/>
                <w:highlight w:val="none"/>
              </w:rPr>
              <w:t>工作状态下油性底漆密度</w:t>
            </w:r>
            <w:r>
              <w:rPr>
                <w:rFonts w:hint="eastAsia" w:cs="Times New Roman"/>
                <w:b w:val="0"/>
                <w:bCs w:val="0"/>
                <w:color w:val="auto"/>
                <w:sz w:val="24"/>
                <w:szCs w:val="24"/>
                <w:highlight w:val="none"/>
                <w:lang w:val="en-US" w:eastAsia="zh-CN"/>
              </w:rPr>
              <w:t>=质量/体积=（</w:t>
            </w:r>
            <w:r>
              <w:rPr>
                <w:rFonts w:hint="eastAsia" w:cs="Times New Roman"/>
                <w:b w:val="0"/>
                <w:bCs w:val="0"/>
                <w:color w:val="auto"/>
                <w:kern w:val="24"/>
                <w:sz w:val="24"/>
                <w:szCs w:val="24"/>
                <w:highlight w:val="none"/>
                <w:lang w:val="en-US" w:eastAsia="zh-CN"/>
              </w:rPr>
              <w:t>66.8+</w:t>
            </w:r>
            <w:r>
              <w:rPr>
                <w:rFonts w:hint="eastAsia" w:ascii="Times New Roman" w:hAnsi="Times New Roman" w:eastAsia="宋体" w:cs="Times New Roman"/>
                <w:b w:val="0"/>
                <w:bCs w:val="0"/>
                <w:color w:val="auto"/>
                <w:sz w:val="24"/>
                <w:szCs w:val="24"/>
                <w:highlight w:val="none"/>
                <w:lang w:val="en-US" w:eastAsia="zh-CN"/>
              </w:rPr>
              <w:t>9</w:t>
            </w:r>
            <w:r>
              <w:rPr>
                <w:rFonts w:hint="eastAsia" w:cs="Times New Roman"/>
                <w:b w:val="0"/>
                <w:bCs w:val="0"/>
                <w:color w:val="auto"/>
                <w:sz w:val="24"/>
                <w:szCs w:val="24"/>
                <w:highlight w:val="none"/>
                <w:lang w:val="en-US" w:eastAsia="zh-CN"/>
              </w:rPr>
              <w:t>.7+8.5）/[（66.8/1.67）+（9.7/0.97）+（8.5/0.8274）]=1.41</w:t>
            </w:r>
            <w:r>
              <w:rPr>
                <w:rFonts w:hint="default" w:ascii="Times New Roman" w:hAnsi="Times New Roman" w:cs="Times New Roman"/>
                <w:b w:val="0"/>
                <w:bCs w:val="0"/>
                <w:color w:val="auto"/>
                <w:sz w:val="24"/>
                <w:szCs w:val="24"/>
                <w:highlight w:val="none"/>
              </w:rPr>
              <w:t>kg/L</w:t>
            </w:r>
            <w:r>
              <w:rPr>
                <w:rFonts w:hint="eastAsia" w:cs="Times New Roman"/>
                <w:b w:val="0"/>
                <w:bCs w:val="0"/>
                <w:color w:val="auto"/>
                <w:sz w:val="24"/>
                <w:szCs w:val="24"/>
                <w:highlight w:val="none"/>
                <w:lang w:eastAsia="zh-CN"/>
              </w:rPr>
              <w:t>。</w:t>
            </w:r>
          </w:p>
          <w:p>
            <w:pPr>
              <w:spacing w:line="360" w:lineRule="auto"/>
              <w:ind w:firstLine="480" w:firstLineChars="200"/>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含固率</w:t>
            </w:r>
            <w:r>
              <w:rPr>
                <w:rFonts w:hint="eastAsia" w:cs="Times New Roman"/>
                <w:b w:val="0"/>
                <w:bCs w:val="0"/>
                <w:color w:val="auto"/>
                <w:sz w:val="24"/>
                <w:szCs w:val="24"/>
                <w:highlight w:val="none"/>
                <w:lang w:val="en-US" w:eastAsia="zh-CN"/>
              </w:rPr>
              <w:t>=（66.8×79%+9.7×62.8%）/（</w:t>
            </w:r>
            <w:r>
              <w:rPr>
                <w:rFonts w:hint="eastAsia" w:cs="Times New Roman"/>
                <w:b w:val="0"/>
                <w:bCs w:val="0"/>
                <w:color w:val="auto"/>
                <w:kern w:val="24"/>
                <w:sz w:val="24"/>
                <w:szCs w:val="24"/>
                <w:highlight w:val="none"/>
                <w:lang w:val="en-US" w:eastAsia="zh-CN"/>
              </w:rPr>
              <w:t>66.8+</w:t>
            </w:r>
            <w:r>
              <w:rPr>
                <w:rFonts w:hint="eastAsia" w:ascii="Times New Roman" w:hAnsi="Times New Roman" w:eastAsia="宋体" w:cs="Times New Roman"/>
                <w:b w:val="0"/>
                <w:bCs w:val="0"/>
                <w:color w:val="auto"/>
                <w:sz w:val="24"/>
                <w:szCs w:val="24"/>
                <w:highlight w:val="none"/>
                <w:lang w:val="en-US" w:eastAsia="zh-CN"/>
              </w:rPr>
              <w:t>9</w:t>
            </w:r>
            <w:r>
              <w:rPr>
                <w:rFonts w:hint="eastAsia" w:cs="Times New Roman"/>
                <w:b w:val="0"/>
                <w:bCs w:val="0"/>
                <w:color w:val="auto"/>
                <w:sz w:val="24"/>
                <w:szCs w:val="24"/>
                <w:highlight w:val="none"/>
                <w:lang w:val="en-US" w:eastAsia="zh-CN"/>
              </w:rPr>
              <w:t>.7+8.5）=69.3</w:t>
            </w:r>
            <w:r>
              <w:rPr>
                <w:rFonts w:hint="default" w:ascii="Times New Roman" w:hAnsi="Times New Roman" w:cs="Times New Roman"/>
                <w:b w:val="0"/>
                <w:bCs w:val="0"/>
                <w:color w:val="auto"/>
                <w:sz w:val="24"/>
                <w:szCs w:val="24"/>
                <w:highlight w:val="none"/>
              </w:rPr>
              <w:t>%，VOCs占比为</w:t>
            </w:r>
            <w:r>
              <w:rPr>
                <w:rFonts w:hint="eastAsia" w:cs="Times New Roman"/>
                <w:b w:val="0"/>
                <w:bCs w:val="0"/>
                <w:color w:val="auto"/>
                <w:sz w:val="24"/>
                <w:szCs w:val="24"/>
                <w:highlight w:val="none"/>
                <w:lang w:val="en-US" w:eastAsia="zh-CN"/>
              </w:rPr>
              <w:t>30.7</w:t>
            </w:r>
            <w:r>
              <w:rPr>
                <w:rFonts w:hint="default" w:ascii="Times New Roman" w:hAnsi="Times New Roman" w:cs="Times New Roman"/>
                <w:b w:val="0"/>
                <w:bCs w:val="0"/>
                <w:color w:val="auto"/>
                <w:sz w:val="24"/>
                <w:szCs w:val="24"/>
                <w:highlight w:val="none"/>
              </w:rPr>
              <w:t>%</w:t>
            </w:r>
            <w:r>
              <w:rPr>
                <w:rFonts w:hint="eastAsia"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则VOC</w:t>
            </w:r>
            <w:r>
              <w:rPr>
                <w:rFonts w:hint="eastAsia" w:ascii="Times New Roman" w:hAnsi="Times New Roman" w:cs="Times New Roman"/>
                <w:b w:val="0"/>
                <w:bCs w:val="0"/>
                <w:color w:val="auto"/>
                <w:sz w:val="24"/>
                <w:szCs w:val="24"/>
                <w:highlight w:val="none"/>
                <w:lang w:val="en-US" w:eastAsia="zh-CN"/>
              </w:rPr>
              <w:t>s</w:t>
            </w:r>
            <w:r>
              <w:rPr>
                <w:rFonts w:hint="default" w:ascii="Times New Roman" w:hAnsi="Times New Roman" w:cs="Times New Roman"/>
                <w:b w:val="0"/>
                <w:bCs w:val="0"/>
                <w:color w:val="auto"/>
                <w:sz w:val="24"/>
                <w:szCs w:val="24"/>
                <w:highlight w:val="none"/>
              </w:rPr>
              <w:t>含量=1</w:t>
            </w:r>
            <w:r>
              <w:rPr>
                <w:rFonts w:hint="eastAsia" w:cs="Times New Roman"/>
                <w:b w:val="0"/>
                <w:bCs w:val="0"/>
                <w:color w:val="auto"/>
                <w:sz w:val="24"/>
                <w:szCs w:val="24"/>
                <w:highlight w:val="none"/>
                <w:lang w:val="en-US" w:eastAsia="zh-CN"/>
              </w:rPr>
              <w:t>410</w:t>
            </w:r>
            <w:r>
              <w:rPr>
                <w:rFonts w:hint="default" w:ascii="Times New Roman" w:hAnsi="Times New Roman" w:cs="Times New Roman"/>
                <w:b w:val="0"/>
                <w:bCs w:val="0"/>
                <w:color w:val="auto"/>
                <w:sz w:val="24"/>
                <w:szCs w:val="24"/>
                <w:highlight w:val="none"/>
              </w:rPr>
              <w:t>g×</w:t>
            </w:r>
            <w:r>
              <w:rPr>
                <w:rFonts w:hint="eastAsia" w:cs="Times New Roman"/>
                <w:b w:val="0"/>
                <w:bCs w:val="0"/>
                <w:color w:val="auto"/>
                <w:sz w:val="24"/>
                <w:szCs w:val="24"/>
                <w:highlight w:val="none"/>
                <w:lang w:val="en-US" w:eastAsia="zh-CN"/>
              </w:rPr>
              <w:t>30.7</w:t>
            </w:r>
            <w:r>
              <w:rPr>
                <w:rFonts w:hint="default" w:ascii="Times New Roman" w:hAnsi="Times New Roman" w:cs="Times New Roman"/>
                <w:b w:val="0"/>
                <w:bCs w:val="0"/>
                <w:color w:val="auto"/>
                <w:sz w:val="24"/>
                <w:szCs w:val="24"/>
                <w:highlight w:val="none"/>
              </w:rPr>
              <w:t>%÷1L=</w:t>
            </w:r>
            <w:r>
              <w:rPr>
                <w:rFonts w:hint="eastAsia" w:cs="Times New Roman"/>
                <w:b w:val="0"/>
                <w:bCs w:val="0"/>
                <w:color w:val="auto"/>
                <w:sz w:val="24"/>
                <w:szCs w:val="24"/>
                <w:highlight w:val="none"/>
                <w:lang w:val="en-US" w:eastAsia="zh-CN"/>
              </w:rPr>
              <w:t>433g</w:t>
            </w:r>
            <w:r>
              <w:rPr>
                <w:rFonts w:hint="default" w:ascii="Times New Roman" w:hAnsi="Times New Roman" w:cs="Times New Roman"/>
                <w:b w:val="0"/>
                <w:bCs w:val="0"/>
                <w:color w:val="auto"/>
                <w:sz w:val="24"/>
                <w:szCs w:val="24"/>
                <w:highlight w:val="none"/>
              </w:rPr>
              <w:t>/L。</w:t>
            </w:r>
          </w:p>
          <w:p>
            <w:pPr>
              <w:spacing w:line="360" w:lineRule="auto"/>
              <w:ind w:firstLine="480" w:firstLineChars="200"/>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根据水性漆测试报告可知，本项目水性漆</w:t>
            </w:r>
            <w:r>
              <w:rPr>
                <w:rFonts w:hint="default" w:ascii="Times New Roman" w:hAnsi="Times New Roman" w:cs="Times New Roman"/>
                <w:b w:val="0"/>
                <w:bCs w:val="0"/>
                <w:color w:val="auto"/>
                <w:sz w:val="24"/>
                <w:szCs w:val="24"/>
                <w:highlight w:val="none"/>
              </w:rPr>
              <w:t>VOC</w:t>
            </w:r>
            <w:r>
              <w:rPr>
                <w:rFonts w:hint="eastAsia" w:ascii="Times New Roman" w:hAnsi="Times New Roman" w:cs="Times New Roman"/>
                <w:b w:val="0"/>
                <w:bCs w:val="0"/>
                <w:color w:val="auto"/>
                <w:sz w:val="24"/>
                <w:szCs w:val="24"/>
                <w:highlight w:val="none"/>
                <w:lang w:val="en-US" w:eastAsia="zh-CN"/>
              </w:rPr>
              <w:t>s</w:t>
            </w:r>
            <w:r>
              <w:rPr>
                <w:rFonts w:hint="default" w:ascii="Times New Roman" w:hAnsi="Times New Roman" w:cs="Times New Roman"/>
                <w:b w:val="0"/>
                <w:bCs w:val="0"/>
                <w:color w:val="auto"/>
                <w:sz w:val="24"/>
                <w:szCs w:val="24"/>
                <w:highlight w:val="none"/>
              </w:rPr>
              <w:t>含量</w:t>
            </w:r>
            <w:r>
              <w:rPr>
                <w:rFonts w:hint="eastAsia" w:ascii="Times New Roman" w:hAnsi="Times New Roman" w:cs="Times New Roman"/>
                <w:b w:val="0"/>
                <w:bCs w:val="0"/>
                <w:color w:val="auto"/>
                <w:sz w:val="24"/>
                <w:szCs w:val="24"/>
                <w:highlight w:val="none"/>
                <w:lang w:val="en-US" w:eastAsia="zh-CN"/>
              </w:rPr>
              <w:t>为60</w:t>
            </w:r>
            <w:r>
              <w:rPr>
                <w:rFonts w:hint="default" w:ascii="Times New Roman" w:hAnsi="Times New Roman" w:cs="Times New Roman"/>
                <w:b w:val="0"/>
                <w:bCs w:val="0"/>
                <w:color w:val="auto"/>
                <w:sz w:val="24"/>
                <w:szCs w:val="24"/>
                <w:highlight w:val="none"/>
              </w:rPr>
              <w:t>g/L。</w:t>
            </w:r>
          </w:p>
          <w:p>
            <w:pPr>
              <w:pStyle w:val="28"/>
              <w:ind w:left="0" w:leftChars="0" w:firstLine="0"/>
              <w:rPr>
                <w:rFonts w:hint="default" w:ascii="Times New Roman" w:hAnsi="Times New Roman" w:cs="Times New Roman"/>
                <w:b/>
                <w:bCs/>
                <w:color w:val="auto"/>
                <w:sz w:val="21"/>
                <w:szCs w:val="21"/>
                <w:highlight w:val="none"/>
              </w:rPr>
            </w:pPr>
          </w:p>
          <w:p>
            <w:pPr>
              <w:rPr>
                <w:rFonts w:hint="default" w:ascii="Times New Roman" w:hAnsi="Times New Roman" w:cs="Times New Roman"/>
                <w:b/>
                <w:bCs/>
                <w:color w:val="auto"/>
                <w:sz w:val="21"/>
                <w:szCs w:val="21"/>
                <w:highlight w:val="none"/>
              </w:rPr>
            </w:pPr>
          </w:p>
          <w:p>
            <w:pPr>
              <w:pStyle w:val="28"/>
              <w:ind w:left="0" w:leftChars="0" w:firstLine="0" w:firstLineChars="0"/>
              <w:rPr>
                <w:rFonts w:hint="default"/>
                <w:color w:val="auto"/>
                <w:highlight w:val="none"/>
              </w:rPr>
            </w:pPr>
          </w:p>
        </w:tc>
      </w:tr>
    </w:tbl>
    <w:p>
      <w:pPr>
        <w:spacing w:line="360" w:lineRule="auto"/>
        <w:outlineLvl w:val="0"/>
        <w:rPr>
          <w:rFonts w:hint="default" w:ascii="Times New Roman" w:hAnsi="Times New Roman" w:eastAsia="黑体" w:cs="Times New Roman"/>
          <w:color w:val="auto"/>
          <w:sz w:val="30"/>
          <w:highlight w:val="none"/>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4"/>
        <w:gridCol w:w="86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dxa"/>
            <w:vAlign w:val="center"/>
          </w:tcPr>
          <w:p>
            <w:pPr>
              <w:pStyle w:val="25"/>
              <w:adjustRightInd w:val="0"/>
              <w:snapToGrid w:val="0"/>
              <w:spacing w:before="0" w:beforeAutospacing="0" w:after="0" w:afterAutospacing="0"/>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建设内容</w:t>
            </w:r>
          </w:p>
        </w:tc>
        <w:tc>
          <w:tcPr>
            <w:tcW w:w="8656" w:type="dxa"/>
            <w:shd w:val="clear" w:color="auto" w:fill="auto"/>
          </w:tcPr>
          <w:p>
            <w:pPr>
              <w:spacing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一．项目概况</w:t>
            </w:r>
          </w:p>
          <w:p>
            <w:pPr>
              <w:spacing w:line="360" w:lineRule="auto"/>
              <w:ind w:firstLine="480" w:firstLineChars="200"/>
              <w:contextualSpacing/>
              <w:rPr>
                <w:rFonts w:hint="default" w:ascii="Times New Roman" w:hAnsi="Times New Roman" w:cs="Times New Roman"/>
                <w:color w:val="auto"/>
                <w:highlight w:val="none"/>
              </w:rPr>
            </w:pPr>
            <w:bookmarkStart w:id="1" w:name="_Hlk68076074"/>
            <w:r>
              <w:rPr>
                <w:rFonts w:hint="eastAsia" w:cs="Times New Roman"/>
                <w:color w:val="auto"/>
                <w:highlight w:val="none"/>
                <w:lang w:eastAsia="zh-CN"/>
              </w:rPr>
              <w:t>天津联发建筑安装工程有限公司</w:t>
            </w:r>
            <w:r>
              <w:rPr>
                <w:rFonts w:hint="default" w:ascii="Times New Roman" w:hAnsi="Times New Roman" w:cs="Times New Roman"/>
                <w:color w:val="auto"/>
                <w:highlight w:val="none"/>
              </w:rPr>
              <w:t>选址位于</w:t>
            </w:r>
            <w:r>
              <w:rPr>
                <w:rFonts w:hint="eastAsia" w:cs="Times New Roman"/>
                <w:color w:val="auto"/>
                <w:highlight w:val="none"/>
                <w:lang w:eastAsia="zh-CN"/>
              </w:rPr>
              <w:t>天津市滨海新区大港海洋石化科技园区迎宾街623#</w:t>
            </w:r>
            <w:r>
              <w:rPr>
                <w:rFonts w:hint="default" w:ascii="Times New Roman" w:hAnsi="Times New Roman" w:cs="Times New Roman"/>
                <w:color w:val="auto"/>
                <w:highlight w:val="none"/>
              </w:rPr>
              <w:t>，地理坐标：东经117 度 27 分 31.075 秒， 北纬38 度 49 分 7.184秒，主要</w:t>
            </w:r>
            <w:r>
              <w:rPr>
                <w:rFonts w:hint="eastAsia" w:cs="Times New Roman"/>
                <w:color w:val="auto"/>
                <w:highlight w:val="none"/>
                <w:lang w:val="en-US" w:eastAsia="zh-CN"/>
              </w:rPr>
              <w:t>从事金属结构制造</w:t>
            </w:r>
            <w:r>
              <w:rPr>
                <w:rFonts w:hint="default" w:ascii="Times New Roman" w:hAnsi="Times New Roman" w:cs="Times New Roman"/>
                <w:color w:val="auto"/>
                <w:highlight w:val="none"/>
              </w:rPr>
              <w:t>。建设单位拟投资</w:t>
            </w:r>
            <w:r>
              <w:rPr>
                <w:rFonts w:hint="eastAsia" w:cs="Times New Roman"/>
                <w:color w:val="auto"/>
                <w:highlight w:val="none"/>
                <w:lang w:val="en-US" w:eastAsia="zh-CN"/>
              </w:rPr>
              <w:t>900</w:t>
            </w:r>
            <w:r>
              <w:rPr>
                <w:rFonts w:hint="default" w:ascii="Times New Roman" w:hAnsi="Times New Roman" w:cs="Times New Roman"/>
                <w:color w:val="auto"/>
                <w:highlight w:val="none"/>
              </w:rPr>
              <w:t>万元建设“</w:t>
            </w:r>
            <w:r>
              <w:rPr>
                <w:rFonts w:hint="eastAsia" w:cs="Times New Roman"/>
                <w:color w:val="auto"/>
                <w:highlight w:val="none"/>
                <w:lang w:eastAsia="zh-CN"/>
              </w:rPr>
              <w:t>天津联发建筑安装工程有限公司新建项目</w:t>
            </w:r>
            <w:r>
              <w:rPr>
                <w:rFonts w:hint="default" w:ascii="Times New Roman" w:hAnsi="Times New Roman" w:cs="Times New Roman"/>
                <w:color w:val="auto"/>
                <w:highlight w:val="none"/>
              </w:rPr>
              <w:t>”（以下简称“本项目”），</w:t>
            </w:r>
            <w:r>
              <w:rPr>
                <w:rFonts w:hint="default" w:ascii="Times New Roman" w:hAnsi="Times New Roman" w:cs="Times New Roman"/>
                <w:color w:val="auto"/>
                <w:highlight w:val="none"/>
              </w:rPr>
              <w:t>本项目</w:t>
            </w:r>
            <w:r>
              <w:rPr>
                <w:rFonts w:hint="eastAsia" w:cs="Times New Roman"/>
                <w:color w:val="auto"/>
                <w:highlight w:val="none"/>
                <w:lang w:eastAsia="zh-CN"/>
              </w:rPr>
              <w:t>建设后</w:t>
            </w:r>
            <w:r>
              <w:rPr>
                <w:rFonts w:hint="default" w:ascii="Times New Roman" w:hAnsi="Times New Roman" w:cs="Times New Roman"/>
                <w:color w:val="auto"/>
                <w:highlight w:val="none"/>
              </w:rPr>
              <w:t>年产钢垫板2000吨，年产</w:t>
            </w:r>
            <w:r>
              <w:rPr>
                <w:rFonts w:hint="eastAsia"/>
                <w:color w:val="auto"/>
                <w:highlight w:val="none"/>
                <w:lang w:val="en-US" w:eastAsia="zh-CN"/>
              </w:rPr>
              <w:t>钢结构</w:t>
            </w:r>
            <w:r>
              <w:rPr>
                <w:rFonts w:hint="default" w:ascii="Times New Roman" w:hAnsi="Times New Roman" w:cs="Times New Roman"/>
                <w:color w:val="auto"/>
                <w:highlight w:val="none"/>
              </w:rPr>
              <w:t>3000吨</w:t>
            </w:r>
            <w:r>
              <w:rPr>
                <w:rFonts w:hint="default" w:ascii="Times New Roman" w:hAnsi="Times New Roman" w:cs="Times New Roman"/>
                <w:color w:val="auto"/>
                <w:highlight w:val="none"/>
              </w:rPr>
              <w:t>。</w:t>
            </w:r>
          </w:p>
          <w:p>
            <w:pPr>
              <w:shd w:val="clear"/>
              <w:spacing w:line="360" w:lineRule="auto"/>
              <w:ind w:firstLine="480" w:firstLineChars="200"/>
              <w:contextualSpacing/>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本项目租用</w:t>
            </w:r>
            <w:r>
              <w:rPr>
                <w:rFonts w:hint="eastAsia" w:cs="Times New Roman"/>
                <w:color w:val="auto"/>
                <w:highlight w:val="none"/>
                <w:lang w:val="en-US" w:eastAsia="zh-CN"/>
              </w:rPr>
              <w:t>天津鑫津机电设备制造有限公司厂区，厂区内包含两座生产厂房和一栋办公楼，其中厂区内的北侧厂房划分成两个车间，设置为生产车间1和生产车间2，生产车间1和生产车间2之间相互连通，厂区内南侧厂房设置为生产车间3。本项目厂区占地面积为35868.7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，建筑面积为27256.23m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，生产车间均为1层钢结构，办公楼为2层钢结构。本项目厂界为厂院边界。</w:t>
            </w:r>
          </w:p>
          <w:p>
            <w:pPr>
              <w:shd w:val="clear"/>
              <w:spacing w:line="360" w:lineRule="auto"/>
              <w:ind w:firstLine="480" w:firstLineChars="200"/>
              <w:contextualSpacing/>
              <w:rPr>
                <w:rFonts w:hint="default" w:ascii="Times New Roman" w:hAnsi="Times New Roman" w:cs="Times New Roman"/>
                <w:color w:val="auto"/>
                <w:highlight w:val="none"/>
              </w:rPr>
            </w:pPr>
            <w:r>
              <w:rPr>
                <w:rFonts w:hint="eastAsia" w:cs="Times New Roman"/>
                <w:color w:val="auto"/>
                <w:highlight w:val="none"/>
                <w:lang w:val="en-US" w:eastAsia="zh-CN"/>
              </w:rPr>
              <w:t>本项目所在厂区无其他企业，</w:t>
            </w:r>
            <w:r>
              <w:rPr>
                <w:rFonts w:hint="default" w:ascii="Times New Roman" w:hAnsi="Times New Roman" w:cs="Times New Roman"/>
                <w:color w:val="auto"/>
                <w:highlight w:val="none"/>
              </w:rPr>
              <w:t>东侧为</w:t>
            </w:r>
            <w:r>
              <w:rPr>
                <w:rFonts w:hint="eastAsia" w:cs="Times New Roman"/>
                <w:color w:val="auto"/>
                <w:highlight w:val="none"/>
                <w:lang w:val="en-US" w:eastAsia="zh-CN"/>
              </w:rPr>
              <w:t>港实街，</w:t>
            </w:r>
            <w:r>
              <w:rPr>
                <w:rFonts w:hint="default" w:ascii="Times New Roman" w:hAnsi="Times New Roman" w:cs="Times New Roman"/>
                <w:color w:val="auto"/>
                <w:highlight w:val="none"/>
              </w:rPr>
              <w:t>南侧为</w:t>
            </w:r>
            <w:r>
              <w:rPr>
                <w:rFonts w:hint="eastAsia" w:cs="Times New Roman"/>
                <w:color w:val="auto"/>
                <w:highlight w:val="none"/>
                <w:lang w:val="en-US" w:eastAsia="zh-CN"/>
              </w:rPr>
              <w:t>空地和天津大港科技园区管委会，西</w:t>
            </w:r>
            <w:r>
              <w:rPr>
                <w:rFonts w:hint="default" w:ascii="Times New Roman" w:hAnsi="Times New Roman" w:cs="Times New Roman"/>
                <w:color w:val="auto"/>
                <w:highlight w:val="none"/>
              </w:rPr>
              <w:t>侧为</w:t>
            </w:r>
            <w:r>
              <w:rPr>
                <w:rFonts w:hint="eastAsia" w:cs="Times New Roman"/>
                <w:color w:val="auto"/>
                <w:highlight w:val="none"/>
                <w:lang w:val="en-US" w:eastAsia="zh-CN"/>
              </w:rPr>
              <w:t>迎宾街，</w:t>
            </w:r>
            <w:r>
              <w:rPr>
                <w:rFonts w:hint="eastAsia" w:ascii="Times New Roman" w:hAnsi="Times New Roman" w:cs="Times New Roman"/>
                <w:color w:val="auto"/>
                <w:highlight w:val="none"/>
                <w:lang w:val="en-US" w:eastAsia="zh-CN"/>
              </w:rPr>
              <w:t>北</w:t>
            </w:r>
            <w:r>
              <w:rPr>
                <w:rFonts w:hint="default" w:ascii="Times New Roman" w:hAnsi="Times New Roman" w:cs="Times New Roman"/>
                <w:color w:val="auto"/>
                <w:highlight w:val="none"/>
              </w:rPr>
              <w:t>侧为</w:t>
            </w:r>
            <w:r>
              <w:rPr>
                <w:rFonts w:hint="eastAsia" w:ascii="Times New Roman" w:hAnsi="Times New Roman" w:cs="Times New Roman"/>
                <w:color w:val="auto"/>
                <w:highlight w:val="none"/>
                <w:lang w:val="en-US" w:eastAsia="zh-CN"/>
              </w:rPr>
              <w:t>昊航复合管业有限公司</w:t>
            </w:r>
            <w:r>
              <w:rPr>
                <w:rFonts w:hint="eastAsia" w:cs="Times New Roman"/>
                <w:color w:val="auto"/>
                <w:highlight w:val="none"/>
                <w:lang w:val="en-US" w:eastAsia="zh-CN"/>
              </w:rPr>
              <w:t>。</w:t>
            </w:r>
            <w:r>
              <w:rPr>
                <w:rFonts w:hint="default" w:ascii="Times New Roman" w:hAnsi="Times New Roman" w:cs="Times New Roman"/>
                <w:color w:val="auto"/>
                <w:highlight w:val="none"/>
              </w:rPr>
              <w:t>本项目地理位置详见附图1，项目区周边环境情况详见附图2。</w:t>
            </w:r>
          </w:p>
          <w:bookmarkEnd w:id="1"/>
          <w:p>
            <w:pPr>
              <w:shd w:val="clear"/>
              <w:spacing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二．项目主要建设内容</w:t>
            </w:r>
          </w:p>
          <w:p>
            <w:pPr>
              <w:spacing w:line="360" w:lineRule="auto"/>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1、本项目主要建设内容</w:t>
            </w:r>
          </w:p>
          <w:p>
            <w:pPr>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eastAsia" w:cs="Times New Roman"/>
                <w:color w:val="auto"/>
                <w:highlight w:val="none"/>
                <w:lang w:eastAsia="zh-CN"/>
              </w:rPr>
              <w:t>天津市滨海新区大港海洋石化科技园区迎宾街623#</w:t>
            </w:r>
            <w:r>
              <w:rPr>
                <w:rFonts w:hint="default" w:ascii="Times New Roman" w:hAnsi="Times New Roman" w:cs="Times New Roman"/>
                <w:color w:val="auto"/>
                <w:highlight w:val="none"/>
              </w:rPr>
              <w:t>，</w:t>
            </w:r>
            <w:r>
              <w:rPr>
                <w:rFonts w:hint="eastAsia" w:cs="Times New Roman"/>
                <w:color w:val="auto"/>
                <w:highlight w:val="none"/>
                <w:lang w:val="en-US" w:eastAsia="zh-CN"/>
              </w:rPr>
              <w:t>厂区内包含两座生产厂房和一栋办公楼，其中厂区内的北侧厂房人为划分成两个车间，设置为生产车间1和生产车间2，厂区内南侧厂房设置为生产车间3。</w:t>
            </w:r>
          </w:p>
          <w:p>
            <w:pPr>
              <w:spacing w:line="360" w:lineRule="auto"/>
              <w:ind w:firstLine="480"/>
              <w:rPr>
                <w:rFonts w:hint="default"/>
                <w:color w:val="auto"/>
                <w:highlight w:val="none"/>
                <w:lang w:val="en-US" w:eastAsia="zh-CN"/>
              </w:rPr>
            </w:pPr>
            <w:r>
              <w:rPr>
                <w:rFonts w:hint="eastAsia" w:cs="Times New Roman"/>
                <w:color w:val="auto"/>
                <w:highlight w:val="none"/>
                <w:lang w:val="en-US" w:eastAsia="zh-CN"/>
              </w:rPr>
              <w:t>本项目在生产车间1内建设1套伸缩式喷漆房、1台火焰切割机、1台摇臂钻床、2台埋弧焊机、3台二保焊机、2台电焊机、2台角磨机，并配套建设一套1#布袋除尘器+18m高排气筒P1和1套水帘+干式过滤棉+活性炭吸附、脱附催化燃烧装置+15m高排气筒P6。</w:t>
            </w:r>
          </w:p>
          <w:p>
            <w:pPr>
              <w:spacing w:line="360" w:lineRule="auto"/>
              <w:ind w:firstLine="480"/>
              <w:rPr>
                <w:rFonts w:hint="eastAsia" w:cs="Times New Roman"/>
                <w:color w:val="auto"/>
                <w:highlight w:val="none"/>
                <w:lang w:val="en-US" w:eastAsia="zh-CN"/>
              </w:rPr>
            </w:pPr>
            <w:r>
              <w:rPr>
                <w:rFonts w:hint="eastAsia" w:cs="Times New Roman"/>
                <w:color w:val="auto"/>
                <w:highlight w:val="none"/>
                <w:lang w:val="en-US" w:eastAsia="zh-CN"/>
              </w:rPr>
              <w:t>本项目在生产车间2内建设1台火焰切割机、2台半自动火焰切割机、2台剪板机、1台组立机、1台矫正机、1台摇臂钻床、2台埋弧焊机、4台二保焊机、3台电焊机、1台抛丸机、2台角磨机，并配套建设一套2#布袋除尘器+18m排气筒P2，抛丸机自带3#布袋除尘器+18m排气筒P3。</w:t>
            </w:r>
          </w:p>
          <w:p>
            <w:pPr>
              <w:spacing w:line="360" w:lineRule="auto"/>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在生产车间3内建设1台火焰切割机、2台半自动火焰切割机、1台组立机、1台矫正机、2台钻床、4台埋弧焊机、4台二保焊机、3台电焊机、1台抛丸机、2台角磨机，并配套建设一套4#布袋除尘器+排气筒P4，抛丸机自带5#布袋除尘器+18m排气筒P5。</w:t>
            </w:r>
          </w:p>
          <w:p>
            <w:pPr>
              <w:spacing w:line="360" w:lineRule="auto"/>
              <w:ind w:firstLine="480"/>
              <w:rPr>
                <w:rFonts w:hint="default" w:ascii="Times New Roman" w:hAnsi="Times New Roman" w:cs="Times New Roman"/>
                <w:b/>
                <w:bCs/>
                <w:color w:val="auto"/>
                <w:sz w:val="21"/>
                <w:szCs w:val="21"/>
                <w:highlight w:val="none"/>
              </w:rPr>
            </w:pPr>
            <w:r>
              <w:rPr>
                <w:rFonts w:hint="default" w:ascii="Times New Roman" w:hAnsi="Times New Roman" w:cs="Times New Roman"/>
                <w:color w:val="auto"/>
                <w:highlight w:val="none"/>
              </w:rPr>
              <w:t>主要建筑物一览表见下表。</w:t>
            </w:r>
          </w:p>
          <w:p>
            <w:pPr>
              <w:spacing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表2-1  主要建筑物一览表</w:t>
            </w:r>
          </w:p>
          <w:tbl>
            <w:tblPr>
              <w:tblStyle w:val="29"/>
              <w:tblW w:w="498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785"/>
              <w:gridCol w:w="1174"/>
              <w:gridCol w:w="1484"/>
              <w:gridCol w:w="1465"/>
              <w:gridCol w:w="2106"/>
              <w:gridCol w:w="13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6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698"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88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建筑面积（m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p>
              </w:tc>
              <w:tc>
                <w:tcPr>
                  <w:tcW w:w="8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占地面积</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eastAsia" w:cs="Times New Roman"/>
                      <w:color w:val="auto"/>
                      <w:sz w:val="21"/>
                      <w:szCs w:val="21"/>
                      <w:highlight w:val="none"/>
                      <w:lang w:eastAsia="zh-CN"/>
                    </w:rPr>
                    <w:t>）</w:t>
                  </w:r>
                </w:p>
              </w:tc>
              <w:tc>
                <w:tcPr>
                  <w:tcW w:w="125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建筑结构层数及高度</w:t>
                  </w:r>
                </w:p>
              </w:tc>
              <w:tc>
                <w:tcPr>
                  <w:tcW w:w="82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6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698"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w:t>
                  </w:r>
                  <w:r>
                    <w:rPr>
                      <w:rFonts w:hint="default" w:ascii="Times New Roman" w:hAnsi="Times New Roman" w:cs="Times New Roman"/>
                      <w:color w:val="auto"/>
                      <w:sz w:val="21"/>
                      <w:szCs w:val="21"/>
                      <w:highlight w:val="none"/>
                    </w:rPr>
                    <w:t>车间</w:t>
                  </w:r>
                  <w:r>
                    <w:rPr>
                      <w:rFonts w:hint="eastAsia" w:cs="Times New Roman"/>
                      <w:color w:val="auto"/>
                      <w:sz w:val="21"/>
                      <w:szCs w:val="21"/>
                      <w:highlight w:val="none"/>
                      <w:lang w:val="en-US" w:eastAsia="zh-CN"/>
                    </w:rPr>
                    <w:t>1</w:t>
                  </w:r>
                </w:p>
              </w:tc>
              <w:tc>
                <w:tcPr>
                  <w:tcW w:w="882"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7256.42</w:t>
                  </w:r>
                </w:p>
              </w:tc>
              <w:tc>
                <w:tcPr>
                  <w:tcW w:w="871" w:type="pct"/>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7256.42</w:t>
                  </w:r>
                </w:p>
              </w:tc>
              <w:tc>
                <w:tcPr>
                  <w:tcW w:w="125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一层，钢结构，</w:t>
                  </w:r>
                  <w:r>
                    <w:rPr>
                      <w:rFonts w:hint="eastAsia"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m</w:t>
                  </w:r>
                </w:p>
              </w:tc>
              <w:tc>
                <w:tcPr>
                  <w:tcW w:w="827"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机加工、焊接、喷漆等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6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698"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w:t>
                  </w:r>
                  <w:r>
                    <w:rPr>
                      <w:rFonts w:hint="default" w:ascii="Times New Roman" w:hAnsi="Times New Roman" w:cs="Times New Roman"/>
                      <w:color w:val="auto"/>
                      <w:sz w:val="21"/>
                      <w:szCs w:val="21"/>
                      <w:highlight w:val="none"/>
                    </w:rPr>
                    <w:t>车间</w:t>
                  </w:r>
                  <w:r>
                    <w:rPr>
                      <w:rFonts w:hint="eastAsia" w:ascii="Times New Roman" w:hAnsi="Times New Roman" w:cs="Times New Roman"/>
                      <w:color w:val="auto"/>
                      <w:sz w:val="21"/>
                      <w:szCs w:val="21"/>
                      <w:highlight w:val="none"/>
                      <w:lang w:val="en-US" w:eastAsia="zh-CN"/>
                    </w:rPr>
                    <w:t>2</w:t>
                  </w:r>
                </w:p>
              </w:tc>
              <w:tc>
                <w:tcPr>
                  <w:tcW w:w="882" w:type="pct"/>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7256.42</w:t>
                  </w:r>
                </w:p>
              </w:tc>
              <w:tc>
                <w:tcPr>
                  <w:tcW w:w="871" w:type="pct"/>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7256.42</w:t>
                  </w:r>
                </w:p>
              </w:tc>
              <w:tc>
                <w:tcPr>
                  <w:tcW w:w="125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一层，钢结构，</w:t>
                  </w:r>
                  <w:r>
                    <w:rPr>
                      <w:rFonts w:hint="eastAsia"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m</w:t>
                  </w:r>
                </w:p>
              </w:tc>
              <w:tc>
                <w:tcPr>
                  <w:tcW w:w="827"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机加工、焊接、抛丸等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14" w:hRule="atLeast"/>
                <w:jc w:val="center"/>
              </w:trPr>
              <w:tc>
                <w:tcPr>
                  <w:tcW w:w="46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698"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w:t>
                  </w:r>
                  <w:r>
                    <w:rPr>
                      <w:rFonts w:hint="default" w:ascii="Times New Roman" w:hAnsi="Times New Roman" w:cs="Times New Roman"/>
                      <w:color w:val="auto"/>
                      <w:sz w:val="21"/>
                      <w:szCs w:val="21"/>
                      <w:highlight w:val="none"/>
                    </w:rPr>
                    <w:t>车间</w:t>
                  </w:r>
                  <w:r>
                    <w:rPr>
                      <w:rFonts w:hint="eastAsia" w:ascii="Times New Roman" w:hAnsi="Times New Roman" w:cs="Times New Roman"/>
                      <w:color w:val="auto"/>
                      <w:sz w:val="21"/>
                      <w:szCs w:val="21"/>
                      <w:highlight w:val="none"/>
                      <w:lang w:val="en-US" w:eastAsia="zh-CN"/>
                    </w:rPr>
                    <w:t>3</w:t>
                  </w:r>
                </w:p>
              </w:tc>
              <w:tc>
                <w:tcPr>
                  <w:tcW w:w="882"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10930.5</w:t>
                  </w:r>
                </w:p>
              </w:tc>
              <w:tc>
                <w:tcPr>
                  <w:tcW w:w="871" w:type="pct"/>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10930.5</w:t>
                  </w:r>
                </w:p>
              </w:tc>
              <w:tc>
                <w:tcPr>
                  <w:tcW w:w="125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一层，钢结构，</w:t>
                  </w:r>
                  <w:r>
                    <w:rPr>
                      <w:rFonts w:hint="eastAsia"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m</w:t>
                  </w:r>
                </w:p>
              </w:tc>
              <w:tc>
                <w:tcPr>
                  <w:tcW w:w="827" w:type="pct"/>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机加工、焊接、抛丸等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97" w:hRule="atLeast"/>
                <w:jc w:val="center"/>
              </w:trPr>
              <w:tc>
                <w:tcPr>
                  <w:tcW w:w="46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698"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办公</w:t>
                  </w:r>
                  <w:r>
                    <w:rPr>
                      <w:rFonts w:hint="eastAsia" w:cs="Times New Roman"/>
                      <w:color w:val="auto"/>
                      <w:sz w:val="21"/>
                      <w:szCs w:val="21"/>
                      <w:highlight w:val="none"/>
                      <w:lang w:val="en-US" w:eastAsia="zh-CN"/>
                    </w:rPr>
                    <w:t>楼</w:t>
                  </w:r>
                </w:p>
              </w:tc>
              <w:tc>
                <w:tcPr>
                  <w:tcW w:w="882"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1812.89</w:t>
                  </w:r>
                </w:p>
              </w:tc>
              <w:tc>
                <w:tcPr>
                  <w:tcW w:w="871"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906.445</w:t>
                  </w:r>
                </w:p>
              </w:tc>
              <w:tc>
                <w:tcPr>
                  <w:tcW w:w="1252" w:type="pct"/>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二</w:t>
                  </w:r>
                  <w:r>
                    <w:rPr>
                      <w:rFonts w:hint="default" w:ascii="Times New Roman" w:hAnsi="Times New Roman" w:cs="Times New Roman"/>
                      <w:color w:val="auto"/>
                      <w:sz w:val="21"/>
                      <w:szCs w:val="21"/>
                      <w:highlight w:val="none"/>
                    </w:rPr>
                    <w:t>层，钢结构，</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m</w:t>
                  </w:r>
                </w:p>
              </w:tc>
              <w:tc>
                <w:tcPr>
                  <w:tcW w:w="82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办公</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67"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698"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厂院、道路</w:t>
                  </w:r>
                </w:p>
              </w:tc>
              <w:tc>
                <w:tcPr>
                  <w:tcW w:w="882"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71"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8612.47</w:t>
                  </w:r>
                </w:p>
              </w:tc>
              <w:tc>
                <w:tcPr>
                  <w:tcW w:w="1252"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827"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运输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67"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698"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88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27256.23</w:t>
                  </w:r>
                </w:p>
              </w:tc>
              <w:tc>
                <w:tcPr>
                  <w:tcW w:w="87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35868.7</w:t>
                  </w:r>
                </w:p>
              </w:tc>
              <w:tc>
                <w:tcPr>
                  <w:tcW w:w="125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2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本项目主要工程内容见下表。</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表2-2  本项目主要工程内容一览表</w:t>
            </w:r>
          </w:p>
          <w:tbl>
            <w:tblPr>
              <w:tblStyle w:val="29"/>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686"/>
              <w:gridCol w:w="1104"/>
              <w:gridCol w:w="5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类别</w:t>
                  </w:r>
                </w:p>
              </w:tc>
              <w:tc>
                <w:tcPr>
                  <w:tcW w:w="179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工程内容</w:t>
                  </w:r>
                </w:p>
              </w:tc>
              <w:tc>
                <w:tcPr>
                  <w:tcW w:w="5641" w:type="dxa"/>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3"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主体工程</w:t>
                  </w:r>
                </w:p>
              </w:tc>
              <w:tc>
                <w:tcPr>
                  <w:tcW w:w="1790" w:type="dxa"/>
                  <w:gridSpan w:val="2"/>
                  <w:vAlign w:val="center"/>
                </w:tcPr>
                <w:p>
                  <w:pPr>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生产</w:t>
                  </w:r>
                  <w:r>
                    <w:rPr>
                      <w:rFonts w:hint="default" w:ascii="Times New Roman" w:hAnsi="Times New Roman" w:cs="Times New Roman"/>
                      <w:color w:val="auto"/>
                      <w:sz w:val="21"/>
                      <w:szCs w:val="21"/>
                      <w:highlight w:val="none"/>
                    </w:rPr>
                    <w:t>车间</w:t>
                  </w:r>
                  <w:r>
                    <w:rPr>
                      <w:rFonts w:hint="eastAsia" w:cs="Times New Roman"/>
                      <w:color w:val="auto"/>
                      <w:sz w:val="21"/>
                      <w:szCs w:val="21"/>
                      <w:highlight w:val="none"/>
                      <w:lang w:val="en-US" w:eastAsia="zh-CN"/>
                    </w:rPr>
                    <w:t>1</w:t>
                  </w:r>
                </w:p>
              </w:tc>
              <w:tc>
                <w:tcPr>
                  <w:tcW w:w="5641" w:type="dxa"/>
                  <w:vAlign w:val="center"/>
                </w:tcPr>
                <w:p>
                  <w:pPr>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建筑面积为</w:t>
                  </w:r>
                  <w:r>
                    <w:rPr>
                      <w:rFonts w:hint="eastAsia" w:cs="Times New Roman"/>
                      <w:color w:val="auto"/>
                      <w:sz w:val="21"/>
                      <w:szCs w:val="21"/>
                      <w:highlight w:val="none"/>
                      <w:lang w:val="en-US" w:eastAsia="zh-CN"/>
                    </w:rPr>
                    <w:t>7256.42</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本项目在生产车间1内建设1套伸缩式喷漆房、1台火焰切割机、1台摇臂钻床、2台埋弧焊机、3台二保焊机、2台电焊机、2台角磨机，并配套建设一套1#布袋除尘器+18m高排气筒P1和1套水帘+干式过滤棉+活性炭吸附、脱附催化燃烧装置+15m高排气筒P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3" w:type="dxa"/>
                  <w:vMerge w:val="continue"/>
                  <w:vAlign w:val="center"/>
                </w:tcPr>
                <w:p>
                  <w:pPr>
                    <w:pStyle w:val="28"/>
                    <w:keepNext w:val="0"/>
                    <w:keepLines w:val="0"/>
                    <w:pageBreakBefore w:val="0"/>
                    <w:widowControl w:val="0"/>
                    <w:kinsoku/>
                    <w:wordWrap/>
                    <w:overflowPunct/>
                    <w:topLinePunct w:val="0"/>
                    <w:autoSpaceDE/>
                    <w:autoSpaceDN/>
                    <w:bidi w:val="0"/>
                    <w:snapToGrid/>
                    <w:spacing w:after="0" w:line="240" w:lineRule="auto"/>
                    <w:ind w:left="0" w:leftChars="0" w:firstLine="0"/>
                    <w:rPr>
                      <w:rFonts w:hint="default" w:ascii="Times New Roman" w:hAnsi="Times New Roman" w:cs="Times New Roman"/>
                      <w:color w:val="auto"/>
                      <w:highlight w:val="none"/>
                    </w:rPr>
                  </w:pPr>
                </w:p>
              </w:tc>
              <w:tc>
                <w:tcPr>
                  <w:tcW w:w="1790" w:type="dxa"/>
                  <w:gridSpan w:val="2"/>
                  <w:vAlign w:val="center"/>
                </w:tcPr>
                <w:p>
                  <w:pPr>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生产</w:t>
                  </w:r>
                  <w:r>
                    <w:rPr>
                      <w:rFonts w:hint="default" w:ascii="Times New Roman" w:hAnsi="Times New Roman" w:cs="Times New Roman"/>
                      <w:color w:val="auto"/>
                      <w:sz w:val="21"/>
                      <w:szCs w:val="21"/>
                      <w:highlight w:val="none"/>
                    </w:rPr>
                    <w:t>车间</w:t>
                  </w:r>
                  <w:r>
                    <w:rPr>
                      <w:rFonts w:hint="eastAsia" w:ascii="Times New Roman" w:hAnsi="Times New Roman" w:cs="Times New Roman"/>
                      <w:color w:val="auto"/>
                      <w:sz w:val="21"/>
                      <w:szCs w:val="21"/>
                      <w:highlight w:val="none"/>
                      <w:lang w:val="en-US" w:eastAsia="zh-CN"/>
                    </w:rPr>
                    <w:t>2</w:t>
                  </w:r>
                </w:p>
              </w:tc>
              <w:tc>
                <w:tcPr>
                  <w:tcW w:w="5641" w:type="dxa"/>
                  <w:vAlign w:val="center"/>
                </w:tcPr>
                <w:p>
                  <w:pPr>
                    <w:keepNext w:val="0"/>
                    <w:keepLines w:val="0"/>
                    <w:pageBreakBefore w:val="0"/>
                    <w:widowControl w:val="0"/>
                    <w:kinsoku/>
                    <w:wordWrap/>
                    <w:overflowPunct/>
                    <w:topLinePunct w:val="0"/>
                    <w:autoSpaceDE/>
                    <w:autoSpaceDN/>
                    <w:bidi w:val="0"/>
                    <w:snapToGrid/>
                    <w:spacing w:line="24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建筑面积为</w:t>
                  </w:r>
                  <w:r>
                    <w:rPr>
                      <w:rFonts w:hint="eastAsia" w:cs="Times New Roman"/>
                      <w:color w:val="auto"/>
                      <w:sz w:val="21"/>
                      <w:szCs w:val="21"/>
                      <w:highlight w:val="none"/>
                      <w:lang w:val="en-US" w:eastAsia="zh-CN"/>
                    </w:rPr>
                    <w:t>7256.42</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本项目在生产车间2内建设1台火焰切割机、2台半自动火焰切割机、2台剪板机、1台组立机、1台矫正机、1台摇臂钻床、2台埋弧焊机、4台二保焊机、3台电焊机、1台抛丸机、2台角磨机，并配套建设一套2#布袋除尘器+18m排气筒P2，抛丸机自带3#布袋除尘器+18m排气筒P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3" w:type="dxa"/>
                  <w:vMerge w:val="continue"/>
                  <w:vAlign w:val="center"/>
                </w:tcPr>
                <w:p>
                  <w:pPr>
                    <w:pStyle w:val="28"/>
                    <w:keepNext w:val="0"/>
                    <w:keepLines w:val="0"/>
                    <w:pageBreakBefore w:val="0"/>
                    <w:widowControl w:val="0"/>
                    <w:kinsoku/>
                    <w:wordWrap/>
                    <w:overflowPunct/>
                    <w:topLinePunct w:val="0"/>
                    <w:autoSpaceDE/>
                    <w:autoSpaceDN/>
                    <w:bidi w:val="0"/>
                    <w:snapToGrid/>
                    <w:spacing w:after="0" w:line="240" w:lineRule="auto"/>
                    <w:ind w:left="0" w:leftChars="0" w:firstLine="0"/>
                    <w:rPr>
                      <w:rFonts w:hint="default" w:ascii="Times New Roman" w:hAnsi="Times New Roman" w:cs="Times New Roman"/>
                      <w:color w:val="auto"/>
                      <w:highlight w:val="none"/>
                    </w:rPr>
                  </w:pPr>
                </w:p>
              </w:tc>
              <w:tc>
                <w:tcPr>
                  <w:tcW w:w="1790" w:type="dxa"/>
                  <w:gridSpan w:val="2"/>
                  <w:vAlign w:val="center"/>
                </w:tcPr>
                <w:p>
                  <w:pPr>
                    <w:keepNext w:val="0"/>
                    <w:keepLines w:val="0"/>
                    <w:pageBreakBefore w:val="0"/>
                    <w:widowControl w:val="0"/>
                    <w:kinsoku/>
                    <w:wordWrap/>
                    <w:overflowPunct/>
                    <w:topLinePunct w:val="0"/>
                    <w:autoSpaceDE/>
                    <w:autoSpaceDN/>
                    <w:bidi w:val="0"/>
                    <w:snapToGrid/>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生产</w:t>
                  </w:r>
                  <w:r>
                    <w:rPr>
                      <w:rFonts w:hint="default" w:ascii="Times New Roman" w:hAnsi="Times New Roman" w:cs="Times New Roman"/>
                      <w:color w:val="auto"/>
                      <w:sz w:val="21"/>
                      <w:szCs w:val="21"/>
                      <w:highlight w:val="none"/>
                    </w:rPr>
                    <w:t>车间</w:t>
                  </w:r>
                  <w:r>
                    <w:rPr>
                      <w:rFonts w:hint="eastAsia" w:ascii="Times New Roman" w:hAnsi="Times New Roman" w:cs="Times New Roman"/>
                      <w:color w:val="auto"/>
                      <w:sz w:val="21"/>
                      <w:szCs w:val="21"/>
                      <w:highlight w:val="none"/>
                      <w:lang w:val="en-US" w:eastAsia="zh-CN"/>
                    </w:rPr>
                    <w:t>3</w:t>
                  </w:r>
                </w:p>
              </w:tc>
              <w:tc>
                <w:tcPr>
                  <w:tcW w:w="5641" w:type="dxa"/>
                  <w:vAlign w:val="center"/>
                </w:tcPr>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建筑面积为</w:t>
                  </w:r>
                  <w:r>
                    <w:rPr>
                      <w:rFonts w:hint="eastAsia" w:cs="Times New Roman"/>
                      <w:color w:val="auto"/>
                      <w:sz w:val="21"/>
                      <w:szCs w:val="21"/>
                      <w:highlight w:val="none"/>
                      <w:lang w:val="en-US" w:eastAsia="zh-CN"/>
                    </w:rPr>
                    <w:t>10930.5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，本项目在生产车间3内建设1台火焰切割机、2台半自动火焰切割机、1台组立机、1台矫正机、2台钻床、</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台埋弧焊机、4台二保焊机、3台电焊机、1台抛丸机</w:t>
                  </w:r>
                  <w:r>
                    <w:rPr>
                      <w:rFonts w:hint="eastAsia" w:cs="Times New Roman"/>
                      <w:color w:val="auto"/>
                      <w:sz w:val="21"/>
                      <w:szCs w:val="21"/>
                      <w:highlight w:val="none"/>
                      <w:lang w:val="en-US" w:eastAsia="zh-CN"/>
                    </w:rPr>
                    <w:t>、2台角磨机</w:t>
                  </w:r>
                  <w:r>
                    <w:rPr>
                      <w:rFonts w:hint="default" w:ascii="Times New Roman" w:hAnsi="Times New Roman" w:cs="Times New Roman"/>
                      <w:color w:val="auto"/>
                      <w:sz w:val="21"/>
                      <w:szCs w:val="21"/>
                      <w:highlight w:val="none"/>
                    </w:rPr>
                    <w:t>，并配套建设一套4#布袋除尘器+排气筒P4，抛丸机自带5#布袋除尘器+18m排气筒P5。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113"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辅助工程</w:t>
                  </w:r>
                </w:p>
              </w:tc>
              <w:tc>
                <w:tcPr>
                  <w:tcW w:w="179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办公室</w:t>
                  </w:r>
                </w:p>
              </w:tc>
              <w:tc>
                <w:tcPr>
                  <w:tcW w:w="5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二层</w:t>
                  </w:r>
                  <w:r>
                    <w:rPr>
                      <w:rFonts w:hint="default" w:ascii="Times New Roman" w:hAnsi="Times New Roman" w:cs="Times New Roman"/>
                      <w:color w:val="auto"/>
                      <w:sz w:val="21"/>
                      <w:szCs w:val="21"/>
                      <w:highlight w:val="none"/>
                    </w:rPr>
                    <w:t>钢结构，位于车间</w:t>
                  </w:r>
                  <w:r>
                    <w:rPr>
                      <w:rFonts w:hint="eastAsia" w:cs="Times New Roman"/>
                      <w:color w:val="auto"/>
                      <w:sz w:val="21"/>
                      <w:szCs w:val="21"/>
                      <w:highlight w:val="none"/>
                      <w:lang w:val="en-US" w:eastAsia="zh-CN"/>
                    </w:rPr>
                    <w:t>西</w:t>
                  </w:r>
                  <w:r>
                    <w:rPr>
                      <w:rFonts w:hint="default" w:ascii="Times New Roman" w:hAnsi="Times New Roman" w:cs="Times New Roman"/>
                      <w:color w:val="auto"/>
                      <w:sz w:val="21"/>
                      <w:szCs w:val="21"/>
                      <w:highlight w:val="none"/>
                    </w:rPr>
                    <w:t>侧，建筑面积为</w:t>
                  </w:r>
                  <w:r>
                    <w:rPr>
                      <w:rFonts w:hint="eastAsia" w:cs="Times New Roman"/>
                      <w:color w:val="auto"/>
                      <w:sz w:val="21"/>
                      <w:szCs w:val="21"/>
                      <w:highlight w:val="none"/>
                      <w:lang w:val="en-US" w:eastAsia="zh-CN"/>
                    </w:rPr>
                    <w:t>1812.89</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，用于职工办公等。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11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p>
              </w:tc>
              <w:tc>
                <w:tcPr>
                  <w:tcW w:w="686"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储运工程</w:t>
                  </w:r>
                </w:p>
              </w:tc>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原料</w:t>
                  </w:r>
                  <w:r>
                    <w:rPr>
                      <w:rFonts w:hint="eastAsia" w:cs="Times New Roman"/>
                      <w:color w:val="auto"/>
                      <w:sz w:val="21"/>
                      <w:szCs w:val="21"/>
                      <w:highlight w:val="none"/>
                      <w:lang w:val="en-US" w:eastAsia="zh-CN"/>
                    </w:rPr>
                    <w:t>区</w:t>
                  </w:r>
                </w:p>
              </w:tc>
              <w:tc>
                <w:tcPr>
                  <w:tcW w:w="5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钢结构，位于</w:t>
                  </w:r>
                  <w:r>
                    <w:rPr>
                      <w:rFonts w:hint="eastAsia" w:cs="Times New Roman"/>
                      <w:color w:val="auto"/>
                      <w:sz w:val="21"/>
                      <w:szCs w:val="21"/>
                      <w:highlight w:val="none"/>
                      <w:lang w:val="en-US" w:eastAsia="zh-CN"/>
                    </w:rPr>
                    <w:t>生产</w:t>
                  </w:r>
                  <w:r>
                    <w:rPr>
                      <w:rFonts w:hint="default" w:ascii="Times New Roman" w:hAnsi="Times New Roman" w:cs="Times New Roman"/>
                      <w:color w:val="auto"/>
                      <w:sz w:val="21"/>
                      <w:szCs w:val="21"/>
                      <w:highlight w:val="none"/>
                    </w:rPr>
                    <w:t>车间</w:t>
                  </w:r>
                  <w:r>
                    <w:rPr>
                      <w:rFonts w:hint="eastAsia" w:cs="Times New Roman"/>
                      <w:color w:val="auto"/>
                      <w:sz w:val="21"/>
                      <w:szCs w:val="21"/>
                      <w:highlight w:val="none"/>
                      <w:lang w:val="en-US" w:eastAsia="zh-CN"/>
                    </w:rPr>
                    <w:t>1、生产车间2、生产车间3</w:t>
                  </w:r>
                  <w:r>
                    <w:rPr>
                      <w:rFonts w:hint="default" w:ascii="Times New Roman" w:hAnsi="Times New Roman" w:cs="Times New Roman"/>
                      <w:color w:val="auto"/>
                      <w:sz w:val="21"/>
                      <w:szCs w:val="21"/>
                      <w:highlight w:val="none"/>
                    </w:rPr>
                    <w:t>内，</w:t>
                  </w:r>
                  <w:r>
                    <w:rPr>
                      <w:rFonts w:hint="eastAsia" w:cs="Times New Roman"/>
                      <w:color w:val="auto"/>
                      <w:sz w:val="21"/>
                      <w:szCs w:val="21"/>
                      <w:highlight w:val="none"/>
                      <w:lang w:val="en-US" w:eastAsia="zh-CN"/>
                    </w:rPr>
                    <w:t>生产车间1内</w:t>
                  </w:r>
                  <w:r>
                    <w:rPr>
                      <w:rFonts w:hint="default" w:ascii="Times New Roman" w:hAnsi="Times New Roman" w:cs="Times New Roman"/>
                      <w:color w:val="auto"/>
                      <w:sz w:val="21"/>
                      <w:szCs w:val="21"/>
                      <w:highlight w:val="none"/>
                    </w:rPr>
                    <w:t>建筑面积为200m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生产车间2内</w:t>
                  </w:r>
                  <w:r>
                    <w:rPr>
                      <w:rFonts w:hint="default" w:ascii="Times New Roman" w:hAnsi="Times New Roman" w:cs="Times New Roman"/>
                      <w:color w:val="auto"/>
                      <w:sz w:val="21"/>
                      <w:szCs w:val="21"/>
                      <w:highlight w:val="none"/>
                    </w:rPr>
                    <w:t>建筑面积为200m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生产车间3内</w:t>
                  </w:r>
                  <w:r>
                    <w:rPr>
                      <w:rFonts w:hint="default" w:ascii="Times New Roman" w:hAnsi="Times New Roman" w:cs="Times New Roman"/>
                      <w:color w:val="auto"/>
                      <w:sz w:val="21"/>
                      <w:szCs w:val="21"/>
                      <w:highlight w:val="none"/>
                    </w:rPr>
                    <w:t>建筑面积为200m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，用于储存原材料。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11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p>
              </w:tc>
              <w:tc>
                <w:tcPr>
                  <w:tcW w:w="686"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p>
              </w:tc>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成品区</w:t>
                  </w:r>
                </w:p>
              </w:tc>
              <w:tc>
                <w:tcPr>
                  <w:tcW w:w="5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钢结构，位于</w:t>
                  </w:r>
                  <w:r>
                    <w:rPr>
                      <w:rFonts w:hint="eastAsia" w:cs="Times New Roman"/>
                      <w:color w:val="auto"/>
                      <w:sz w:val="21"/>
                      <w:szCs w:val="21"/>
                      <w:highlight w:val="none"/>
                      <w:lang w:val="en-US" w:eastAsia="zh-CN"/>
                    </w:rPr>
                    <w:t>生产车间1</w:t>
                  </w:r>
                  <w:r>
                    <w:rPr>
                      <w:rFonts w:hint="default" w:ascii="Times New Roman" w:hAnsi="Times New Roman" w:cs="Times New Roman"/>
                      <w:color w:val="auto"/>
                      <w:sz w:val="21"/>
                      <w:szCs w:val="21"/>
                      <w:highlight w:val="none"/>
                    </w:rPr>
                    <w:t>内，建筑面积为200m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，用于储存成品。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p>
              </w:tc>
              <w:tc>
                <w:tcPr>
                  <w:tcW w:w="686"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p>
              </w:tc>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漆料间</w:t>
                  </w:r>
                </w:p>
              </w:tc>
              <w:tc>
                <w:tcPr>
                  <w:tcW w:w="5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钢结构，位于</w:t>
                  </w:r>
                  <w:r>
                    <w:rPr>
                      <w:rFonts w:hint="eastAsia" w:cs="Times New Roman"/>
                      <w:color w:val="auto"/>
                      <w:sz w:val="21"/>
                      <w:szCs w:val="21"/>
                      <w:highlight w:val="none"/>
                      <w:lang w:val="en-US" w:eastAsia="zh-CN"/>
                    </w:rPr>
                    <w:t>生产</w:t>
                  </w:r>
                  <w:r>
                    <w:rPr>
                      <w:rFonts w:hint="default" w:ascii="Times New Roman" w:hAnsi="Times New Roman" w:cs="Times New Roman"/>
                      <w:color w:val="auto"/>
                      <w:sz w:val="21"/>
                      <w:szCs w:val="21"/>
                      <w:highlight w:val="none"/>
                    </w:rPr>
                    <w:t>车间</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内，建筑面积为</w:t>
                  </w: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，用于储存漆料。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p>
              </w:tc>
              <w:tc>
                <w:tcPr>
                  <w:tcW w:w="686"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p>
              </w:tc>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危废间</w:t>
                  </w:r>
                </w:p>
              </w:tc>
              <w:tc>
                <w:tcPr>
                  <w:tcW w:w="5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钢结构，位于</w:t>
                  </w:r>
                  <w:r>
                    <w:rPr>
                      <w:rFonts w:hint="eastAsia" w:cs="Times New Roman"/>
                      <w:color w:val="auto"/>
                      <w:sz w:val="21"/>
                      <w:szCs w:val="21"/>
                      <w:highlight w:val="none"/>
                      <w:lang w:val="en-US" w:eastAsia="zh-CN"/>
                    </w:rPr>
                    <w:t>生产</w:t>
                  </w:r>
                  <w:r>
                    <w:rPr>
                      <w:rFonts w:hint="default" w:ascii="Times New Roman" w:hAnsi="Times New Roman" w:cs="Times New Roman"/>
                      <w:color w:val="auto"/>
                      <w:sz w:val="21"/>
                      <w:szCs w:val="21"/>
                      <w:highlight w:val="none"/>
                    </w:rPr>
                    <w:t>车间</w:t>
                  </w:r>
                  <w:r>
                    <w:rPr>
                      <w:rFonts w:hint="eastAsia" w:cs="Times New Roman"/>
                      <w:color w:val="auto"/>
                      <w:sz w:val="21"/>
                      <w:szCs w:val="21"/>
                      <w:highlight w:val="none"/>
                      <w:lang w:val="en-US" w:eastAsia="zh-CN"/>
                    </w:rPr>
                    <w:t>1内</w:t>
                  </w:r>
                  <w:r>
                    <w:rPr>
                      <w:rFonts w:hint="default" w:ascii="Times New Roman" w:hAnsi="Times New Roman" w:cs="Times New Roman"/>
                      <w:color w:val="auto"/>
                      <w:sz w:val="21"/>
                      <w:szCs w:val="21"/>
                      <w:highlight w:val="none"/>
                    </w:rPr>
                    <w:t>，建筑面积为</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0m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，用于贮存危险废物。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3"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p>
              </w:tc>
              <w:tc>
                <w:tcPr>
                  <w:tcW w:w="686" w:type="dxa"/>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p>
              </w:tc>
              <w:tc>
                <w:tcPr>
                  <w:tcW w:w="1104"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一般固废暂存间</w:t>
                  </w:r>
                </w:p>
              </w:tc>
              <w:tc>
                <w:tcPr>
                  <w:tcW w:w="5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钢结构，位于</w:t>
                  </w:r>
                  <w:r>
                    <w:rPr>
                      <w:rFonts w:hint="eastAsia" w:cs="Times New Roman"/>
                      <w:color w:val="auto"/>
                      <w:sz w:val="21"/>
                      <w:szCs w:val="21"/>
                      <w:highlight w:val="none"/>
                      <w:lang w:val="en-US" w:eastAsia="zh-CN"/>
                    </w:rPr>
                    <w:t>生产</w:t>
                  </w:r>
                  <w:r>
                    <w:rPr>
                      <w:rFonts w:hint="default" w:ascii="Times New Roman" w:hAnsi="Times New Roman" w:cs="Times New Roman"/>
                      <w:color w:val="auto"/>
                      <w:sz w:val="21"/>
                      <w:szCs w:val="21"/>
                      <w:highlight w:val="none"/>
                    </w:rPr>
                    <w:t>车间</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内，建筑面积为</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0m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，用于贮存一般固废。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公用工程</w:t>
                  </w:r>
                </w:p>
              </w:tc>
              <w:tc>
                <w:tcPr>
                  <w:tcW w:w="1790"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供水</w:t>
                  </w:r>
                </w:p>
              </w:tc>
              <w:tc>
                <w:tcPr>
                  <w:tcW w:w="5641" w:type="dxa"/>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循环冷却水及生活用水由园区市政供水管网供给。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p>
              </w:tc>
              <w:tc>
                <w:tcPr>
                  <w:tcW w:w="179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排水</w:t>
                  </w:r>
                </w:p>
              </w:tc>
              <w:tc>
                <w:tcPr>
                  <w:tcW w:w="5641" w:type="dxa"/>
                  <w:vAlign w:val="center"/>
                </w:tcPr>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①雨、污分流，雨水经雨水排放口进入雨水管网。</w:t>
                  </w:r>
                </w:p>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②本项目</w:t>
                  </w:r>
                  <w:r>
                    <w:rPr>
                      <w:rFonts w:hint="eastAsia" w:cs="Times New Roman"/>
                      <w:color w:val="auto"/>
                      <w:sz w:val="21"/>
                      <w:szCs w:val="21"/>
                      <w:highlight w:val="none"/>
                      <w:lang w:val="en-US" w:eastAsia="zh-CN"/>
                    </w:rPr>
                    <w:t>伸缩式喷漆房内</w:t>
                  </w:r>
                  <w:r>
                    <w:rPr>
                      <w:rFonts w:hint="default" w:ascii="Times New Roman" w:hAnsi="Times New Roman" w:cs="Times New Roman"/>
                      <w:color w:val="auto"/>
                      <w:sz w:val="21"/>
                      <w:szCs w:val="21"/>
                      <w:highlight w:val="none"/>
                    </w:rPr>
                    <w:t>水帘废水循环使用，定期收集，作为危险废物委托有资质单位进行处理，无生产废水排放。</w:t>
                  </w:r>
                </w:p>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③生活污水经化粪池沉淀后经污水管网排放至</w:t>
                  </w:r>
                  <w:r>
                    <w:rPr>
                      <w:rFonts w:hint="eastAsia" w:cs="Times New Roman"/>
                      <w:color w:val="auto"/>
                      <w:sz w:val="21"/>
                      <w:szCs w:val="21"/>
                      <w:highlight w:val="none"/>
                      <w:lang w:eastAsia="zh-CN"/>
                    </w:rPr>
                    <w:t>大港石化产业园区污水处理厂</w:t>
                  </w:r>
                  <w:r>
                    <w:rPr>
                      <w:rFonts w:hint="default" w:ascii="Times New Roman" w:hAnsi="Times New Roman" w:cs="Times New Roman"/>
                      <w:color w:val="auto"/>
                      <w:sz w:val="21"/>
                      <w:szCs w:val="21"/>
                      <w:highlight w:val="none"/>
                    </w:rPr>
                    <w:t>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3"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p>
              </w:tc>
              <w:tc>
                <w:tcPr>
                  <w:tcW w:w="179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w:t>
                  </w:r>
                </w:p>
              </w:tc>
              <w:tc>
                <w:tcPr>
                  <w:tcW w:w="5641" w:type="dxa"/>
                  <w:vAlign w:val="center"/>
                </w:tcPr>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由园区市政供电管网供给。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113"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p>
              </w:tc>
              <w:tc>
                <w:tcPr>
                  <w:tcW w:w="179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供热制冷</w:t>
                  </w:r>
                </w:p>
              </w:tc>
              <w:tc>
                <w:tcPr>
                  <w:tcW w:w="5641" w:type="dxa"/>
                  <w:vAlign w:val="center"/>
                </w:tcPr>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本项目生产车间无供暖制冷设施，办公室采用分体空调取暖制冷。晾干房内晾干热源为电加热。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环保工程</w:t>
                  </w:r>
                </w:p>
              </w:tc>
              <w:tc>
                <w:tcPr>
                  <w:tcW w:w="179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5641" w:type="dxa"/>
                  <w:vAlign w:val="center"/>
                </w:tcPr>
                <w:p>
                  <w:pPr>
                    <w:keepNext w:val="0"/>
                    <w:keepLines w:val="0"/>
                    <w:pageBreakBefore w:val="0"/>
                    <w:widowControl w:val="0"/>
                    <w:kinsoku/>
                    <w:wordWrap/>
                    <w:overflowPunct/>
                    <w:topLinePunct w:val="0"/>
                    <w:autoSpaceDE/>
                    <w:autoSpaceDN/>
                    <w:bidi w:val="0"/>
                    <w:adjustRightInd w:val="0"/>
                    <w:snapToGrid/>
                    <w:spacing w:line="240" w:lineRule="auto"/>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rPr>
                    <w:t>①</w:t>
                  </w:r>
                  <w:r>
                    <w:rPr>
                      <w:rFonts w:hint="eastAsia" w:cs="Times New Roman"/>
                      <w:color w:val="auto"/>
                      <w:sz w:val="21"/>
                      <w:szCs w:val="21"/>
                      <w:highlight w:val="none"/>
                      <w:lang w:val="en-US" w:eastAsia="zh-CN"/>
                    </w:rPr>
                    <w:t>生产车间1内火焰切割机、埋弧焊机、二保焊机、电焊机工作过程中会产生颗粒物，火焰切割机产生的颗粒物经切割枪头处可移动集气罩收集，埋弧焊机、二保焊机、电焊机产生的颗粒物经万向集气罩收集，上述颗粒物经收集后通过一套1#布袋除尘器+18m高排气筒P1有组织排放。</w:t>
                  </w:r>
                </w:p>
                <w:p>
                  <w:pPr>
                    <w:keepNext w:val="0"/>
                    <w:keepLines w:val="0"/>
                    <w:pageBreakBefore w:val="0"/>
                    <w:widowControl w:val="0"/>
                    <w:kinsoku/>
                    <w:wordWrap/>
                    <w:overflowPunct/>
                    <w:topLinePunct w:val="0"/>
                    <w:autoSpaceDE/>
                    <w:autoSpaceDN/>
                    <w:bidi w:val="0"/>
                    <w:adjustRightInd w:val="0"/>
                    <w:snapToGrid/>
                    <w:spacing w:line="240" w:lineRule="auto"/>
                    <w:rPr>
                      <w:rFonts w:hint="eastAsia" w:ascii="Times New Roman" w:hAnsi="Times New Roman" w:cs="Times New Roman"/>
                      <w:color w:val="auto"/>
                      <w:sz w:val="21"/>
                      <w:szCs w:val="21"/>
                      <w:highlight w:val="none"/>
                      <w:lang w:eastAsia="zh-CN" w:bidi="ar"/>
                    </w:rPr>
                  </w:pPr>
                  <w:r>
                    <w:rPr>
                      <w:rFonts w:hint="default" w:ascii="Times New Roman" w:hAnsi="Times New Roman" w:cs="Times New Roman"/>
                      <w:color w:val="auto"/>
                      <w:sz w:val="21"/>
                      <w:szCs w:val="21"/>
                      <w:highlight w:val="none"/>
                      <w:lang w:bidi="ar"/>
                    </w:rPr>
                    <w:t>本项目</w:t>
                  </w:r>
                  <w:r>
                    <w:rPr>
                      <w:rFonts w:hint="eastAsia" w:ascii="Times New Roman" w:hAnsi="Times New Roman" w:cs="Times New Roman"/>
                      <w:color w:val="auto"/>
                      <w:sz w:val="21"/>
                      <w:szCs w:val="21"/>
                      <w:highlight w:val="none"/>
                      <w:lang w:val="en-US" w:eastAsia="zh-CN" w:bidi="ar"/>
                    </w:rPr>
                    <w:t>伸缩式喷漆房内</w:t>
                  </w:r>
                  <w:r>
                    <w:rPr>
                      <w:rFonts w:hint="default" w:ascii="Times New Roman" w:hAnsi="Times New Roman" w:cs="Times New Roman"/>
                      <w:color w:val="auto"/>
                      <w:sz w:val="21"/>
                      <w:szCs w:val="21"/>
                      <w:highlight w:val="none"/>
                      <w:lang w:bidi="ar"/>
                    </w:rPr>
                    <w:t>调漆-喷漆-晾干过程中的废气经密闭喷漆房内整体换风微负压环境进行废气收集，采用</w:t>
                  </w:r>
                  <w:r>
                    <w:rPr>
                      <w:rFonts w:hint="eastAsia" w:ascii="Times New Roman" w:hAnsi="Times New Roman" w:cs="Times New Roman"/>
                      <w:color w:val="auto"/>
                      <w:sz w:val="21"/>
                      <w:szCs w:val="21"/>
                      <w:highlight w:val="none"/>
                      <w:lang w:val="en-US" w:eastAsia="zh-CN" w:bidi="ar"/>
                    </w:rPr>
                    <w:t>伸缩式</w:t>
                  </w:r>
                  <w:r>
                    <w:rPr>
                      <w:rFonts w:hint="default" w:ascii="Times New Roman" w:hAnsi="Times New Roman" w:cs="Times New Roman"/>
                      <w:color w:val="auto"/>
                      <w:sz w:val="21"/>
                      <w:szCs w:val="21"/>
                      <w:highlight w:val="none"/>
                      <w:lang w:bidi="ar"/>
                    </w:rPr>
                    <w:t>喷漆房内</w:t>
                  </w:r>
                  <w:r>
                    <w:rPr>
                      <w:rFonts w:hint="eastAsia" w:ascii="Times New Roman" w:hAnsi="Times New Roman" w:cs="Times New Roman"/>
                      <w:color w:val="auto"/>
                      <w:sz w:val="21"/>
                      <w:szCs w:val="21"/>
                      <w:highlight w:val="none"/>
                      <w:lang w:val="en-US" w:eastAsia="zh-CN" w:bidi="ar"/>
                    </w:rPr>
                    <w:t>水帘</w:t>
                  </w:r>
                  <w:r>
                    <w:rPr>
                      <w:rFonts w:hint="default" w:ascii="Times New Roman" w:hAnsi="Times New Roman" w:cs="Times New Roman"/>
                      <w:color w:val="auto"/>
                      <w:sz w:val="21"/>
                      <w:szCs w:val="21"/>
                      <w:highlight w:val="none"/>
                      <w:lang w:bidi="ar"/>
                    </w:rPr>
                    <w:t>+干式过滤</w:t>
                  </w:r>
                  <w:r>
                    <w:rPr>
                      <w:rFonts w:hint="eastAsia" w:ascii="Times New Roman" w:hAnsi="Times New Roman" w:cs="Times New Roman"/>
                      <w:color w:val="auto"/>
                      <w:sz w:val="21"/>
                      <w:szCs w:val="21"/>
                      <w:highlight w:val="none"/>
                      <w:lang w:val="en-US" w:eastAsia="zh-CN" w:bidi="ar"/>
                    </w:rPr>
                    <w:t>棉</w:t>
                  </w:r>
                  <w:r>
                    <w:rPr>
                      <w:rFonts w:hint="default" w:ascii="Times New Roman" w:hAnsi="Times New Roman" w:cs="Times New Roman"/>
                      <w:color w:val="auto"/>
                      <w:sz w:val="21"/>
                      <w:szCs w:val="21"/>
                      <w:highlight w:val="none"/>
                      <w:lang w:bidi="ar"/>
                    </w:rPr>
                    <w:t>进行</w:t>
                  </w:r>
                  <w:r>
                    <w:rPr>
                      <w:rFonts w:hint="eastAsia" w:ascii="Times New Roman" w:hAnsi="Times New Roman" w:cs="Times New Roman"/>
                      <w:color w:val="auto"/>
                      <w:sz w:val="21"/>
                      <w:szCs w:val="21"/>
                      <w:highlight w:val="none"/>
                      <w:lang w:val="en-US" w:eastAsia="zh-CN" w:bidi="ar"/>
                    </w:rPr>
                    <w:t>除</w:t>
                  </w:r>
                  <w:r>
                    <w:rPr>
                      <w:rFonts w:hint="default" w:ascii="Times New Roman" w:hAnsi="Times New Roman" w:cs="Times New Roman"/>
                      <w:color w:val="auto"/>
                      <w:sz w:val="21"/>
                      <w:szCs w:val="21"/>
                      <w:highlight w:val="none"/>
                      <w:lang w:bidi="ar"/>
                    </w:rPr>
                    <w:t>漆雾，去除漆雾的废气通入1 套</w:t>
                  </w:r>
                  <w:r>
                    <w:rPr>
                      <w:rFonts w:hint="eastAsia" w:cs="Times New Roman"/>
                      <w:color w:val="auto"/>
                      <w:sz w:val="21"/>
                      <w:szCs w:val="21"/>
                      <w:highlight w:val="none"/>
                      <w:lang w:eastAsia="zh-CN" w:bidi="ar"/>
                    </w:rPr>
                    <w:t>活性炭吸附、脱附催化燃烧</w:t>
                  </w:r>
                  <w:r>
                    <w:rPr>
                      <w:rFonts w:hint="default" w:ascii="Times New Roman" w:hAnsi="Times New Roman" w:cs="Times New Roman"/>
                      <w:color w:val="auto"/>
                      <w:sz w:val="21"/>
                      <w:szCs w:val="21"/>
                      <w:highlight w:val="none"/>
                      <w:lang w:bidi="ar"/>
                    </w:rPr>
                    <w:t>装置处理后，通过1根15m 高排气筒P</w:t>
                  </w:r>
                  <w:r>
                    <w:rPr>
                      <w:rFonts w:hint="eastAsia" w:ascii="Times New Roman" w:hAnsi="Times New Roman" w:cs="Times New Roman"/>
                      <w:color w:val="auto"/>
                      <w:sz w:val="21"/>
                      <w:szCs w:val="21"/>
                      <w:highlight w:val="none"/>
                      <w:lang w:val="en-US" w:eastAsia="zh-CN" w:bidi="ar"/>
                    </w:rPr>
                    <w:t>6</w:t>
                  </w:r>
                  <w:r>
                    <w:rPr>
                      <w:rFonts w:hint="default" w:ascii="Times New Roman" w:hAnsi="Times New Roman" w:cs="Times New Roman"/>
                      <w:color w:val="auto"/>
                      <w:sz w:val="21"/>
                      <w:szCs w:val="21"/>
                      <w:highlight w:val="none"/>
                      <w:lang w:bidi="ar"/>
                    </w:rPr>
                    <w:t>排放</w:t>
                  </w:r>
                  <w:r>
                    <w:rPr>
                      <w:rFonts w:hint="eastAsia" w:ascii="Times New Roman" w:hAnsi="Times New Roman" w:cs="Times New Roman"/>
                      <w:color w:val="auto"/>
                      <w:sz w:val="21"/>
                      <w:szCs w:val="21"/>
                      <w:highlight w:val="none"/>
                      <w:lang w:eastAsia="zh-CN" w:bidi="ar"/>
                    </w:rPr>
                    <w:t>。</w:t>
                  </w:r>
                </w:p>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w:t>
                  </w:r>
                  <w:r>
                    <w:rPr>
                      <w:rFonts w:hint="eastAsia" w:cs="Times New Roman"/>
                      <w:color w:val="auto"/>
                      <w:sz w:val="21"/>
                      <w:szCs w:val="21"/>
                      <w:highlight w:val="none"/>
                      <w:lang w:val="en-US" w:eastAsia="zh-CN"/>
                    </w:rPr>
                    <w:t>本项目生产车间2内火焰切割机、半自动火焰切割机、埋弧焊机、二保焊机、电焊机、抛丸机工作过程中会产生颗粒物，火焰切割机产生的颗粒物经切割枪头处可移动集气罩收集，埋弧焊机、二保焊机、电焊机产生的颗粒物经万向集气罩收集，上述颗粒物经收集后通过一套2#布袋除尘器+18m高排气筒P2有组织排放。抛丸机产生的颗粒物经自带3#布袋除尘器+18m排气筒P3排放。</w:t>
                  </w:r>
                </w:p>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③本项目生产车间3内火焰切割机、半自动火焰切割机、埋弧焊机、二保焊机、电焊机、抛丸机</w:t>
                  </w:r>
                  <w:r>
                    <w:rPr>
                      <w:rFonts w:hint="eastAsia" w:cs="Times New Roman"/>
                      <w:color w:val="auto"/>
                      <w:sz w:val="21"/>
                      <w:szCs w:val="21"/>
                      <w:highlight w:val="none"/>
                      <w:lang w:val="en-US" w:eastAsia="zh-CN"/>
                    </w:rPr>
                    <w:t>工作过程中会产生颗粒物，火焰切割机产生的颗粒物经切割枪头处可移动集气罩收集，埋弧焊机、二保焊机、电焊机产生的颗粒物经万向集气罩收集，上述颗粒物经收集后通过一套4#布袋除尘器+18m高排气筒P4有组织排放。抛丸机产生的颗粒物经自带5#布袋除尘器+18m排气筒P5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p>
              </w:tc>
              <w:tc>
                <w:tcPr>
                  <w:tcW w:w="179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5641" w:type="dxa"/>
                  <w:vAlign w:val="center"/>
                </w:tcPr>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①雨、污分流，雨水经雨水排放口进入雨水管网。</w:t>
                  </w:r>
                </w:p>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②本项目喷漆间水帘废水循环使用，定期收集，作为危险废物委托有资质单位进行处理，无生产废水排放。</w:t>
                  </w:r>
                </w:p>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③生活污水经化粪池沉淀后经污水管网排放至入</w:t>
                  </w:r>
                  <w:r>
                    <w:rPr>
                      <w:rFonts w:hint="eastAsia" w:cs="Times New Roman"/>
                      <w:color w:val="auto"/>
                      <w:sz w:val="21"/>
                      <w:szCs w:val="21"/>
                      <w:highlight w:val="none"/>
                      <w:lang w:eastAsia="zh-CN"/>
                    </w:rPr>
                    <w:t>大港石化产业园区污水处理厂</w:t>
                  </w:r>
                  <w:r>
                    <w:rPr>
                      <w:rFonts w:hint="default" w:ascii="Times New Roman" w:hAnsi="Times New Roman" w:cs="Times New Roman"/>
                      <w:color w:val="auto"/>
                      <w:sz w:val="21"/>
                      <w:szCs w:val="21"/>
                      <w:highlight w:val="none"/>
                    </w:rPr>
                    <w:t>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3"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p>
              </w:tc>
              <w:tc>
                <w:tcPr>
                  <w:tcW w:w="179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5641" w:type="dxa"/>
                  <w:vAlign w:val="center"/>
                </w:tcPr>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设备采取基础减振、合理布局、建筑隔声、距离衰减、环保设备风机安装隔声罩</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隔声罩内安装吸音棉</w:t>
                  </w:r>
                  <w:r>
                    <w:rPr>
                      <w:rFonts w:hint="default" w:ascii="Times New Roman" w:hAnsi="Times New Roman" w:cs="Times New Roman"/>
                      <w:color w:val="auto"/>
                      <w:sz w:val="21"/>
                      <w:szCs w:val="21"/>
                      <w:highlight w:val="none"/>
                    </w:rPr>
                    <w:t>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113" w:type="dxa"/>
                  <w:vMerge w:val="continue"/>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p>
              </w:tc>
              <w:tc>
                <w:tcPr>
                  <w:tcW w:w="1790" w:type="dxa"/>
                  <w:gridSpan w:val="2"/>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5641" w:type="dxa"/>
                  <w:vAlign w:val="center"/>
                </w:tcPr>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生活垃圾：厂内垃圾箱收集、城市管理相关部门清运；</w:t>
                  </w:r>
                </w:p>
                <w:p>
                  <w:pPr>
                    <w:keepNext w:val="0"/>
                    <w:keepLines w:val="0"/>
                    <w:pageBreakBefore w:val="0"/>
                    <w:widowControl w:val="0"/>
                    <w:kinsoku/>
                    <w:wordWrap/>
                    <w:overflowPunct/>
                    <w:topLinePunct w:val="0"/>
                    <w:autoSpaceDE/>
                    <w:autoSpaceDN/>
                    <w:bidi w:val="0"/>
                    <w:adjustRightInd w:val="0"/>
                    <w:snapToGrid/>
                    <w:spacing w:line="240" w:lineRule="auto"/>
                    <w:rPr>
                      <w:rFonts w:hint="eastAsia" w:cs="Times New Roman"/>
                      <w:color w:val="auto"/>
                      <w:sz w:val="21"/>
                      <w:szCs w:val="21"/>
                      <w:highlight w:val="none"/>
                      <w:lang w:eastAsia="zh-CN"/>
                    </w:rPr>
                  </w:pPr>
                  <w:r>
                    <w:rPr>
                      <w:rFonts w:hint="eastAsia" w:cs="Times New Roman"/>
                      <w:color w:val="auto"/>
                      <w:sz w:val="21"/>
                      <w:szCs w:val="21"/>
                      <w:highlight w:val="none"/>
                      <w:lang w:val="en-US" w:eastAsia="zh-CN"/>
                    </w:rPr>
                    <w:t>一般固废：</w:t>
                  </w:r>
                  <w:r>
                    <w:rPr>
                      <w:rFonts w:hint="default" w:ascii="Times New Roman" w:hAnsi="Times New Roman" w:cs="Times New Roman"/>
                      <w:color w:val="auto"/>
                      <w:sz w:val="21"/>
                      <w:szCs w:val="21"/>
                      <w:highlight w:val="none"/>
                    </w:rPr>
                    <w:t>设置一般固废</w:t>
                  </w:r>
                  <w:r>
                    <w:rPr>
                      <w:rFonts w:hint="eastAsia" w:cs="Times New Roman"/>
                      <w:color w:val="auto"/>
                      <w:sz w:val="21"/>
                      <w:szCs w:val="21"/>
                      <w:highlight w:val="none"/>
                      <w:lang w:val="en-US" w:eastAsia="zh-CN"/>
                    </w:rPr>
                    <w:t>暂存间（40m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一般固废</w:t>
                  </w:r>
                  <w:r>
                    <w:rPr>
                      <w:rFonts w:hint="eastAsia" w:cs="Times New Roman"/>
                      <w:color w:val="auto"/>
                      <w:sz w:val="21"/>
                      <w:szCs w:val="21"/>
                      <w:highlight w:val="none"/>
                      <w:lang w:val="en-US" w:eastAsia="zh-CN"/>
                    </w:rPr>
                    <w:t>暂存在一般固废暂存间内，</w:t>
                  </w:r>
                  <w:r>
                    <w:rPr>
                      <w:rFonts w:hint="default" w:ascii="Times New Roman" w:hAnsi="Times New Roman" w:cs="Times New Roman"/>
                      <w:color w:val="auto"/>
                      <w:sz w:val="21"/>
                      <w:szCs w:val="21"/>
                      <w:highlight w:val="none"/>
                    </w:rPr>
                    <w:t>由城市管理相关部门或物资部门处理</w:t>
                  </w:r>
                  <w:r>
                    <w:rPr>
                      <w:rFonts w:hint="eastAsia" w:cs="Times New Roman"/>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240" w:lineRule="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危险废物：设置危险废物暂存间（30m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，危险废物</w:t>
                  </w:r>
                  <w:r>
                    <w:rPr>
                      <w:rFonts w:hint="eastAsia" w:cs="Times New Roman"/>
                      <w:color w:val="auto"/>
                      <w:sz w:val="21"/>
                      <w:szCs w:val="21"/>
                      <w:highlight w:val="none"/>
                      <w:lang w:val="en-US" w:eastAsia="zh-CN"/>
                    </w:rPr>
                    <w:t>暂存在危险废物暂存间内，</w:t>
                  </w:r>
                  <w:r>
                    <w:rPr>
                      <w:rFonts w:hint="default" w:ascii="Times New Roman" w:hAnsi="Times New Roman" w:cs="Times New Roman"/>
                      <w:color w:val="auto"/>
                      <w:sz w:val="21"/>
                      <w:szCs w:val="21"/>
                      <w:highlight w:val="none"/>
                    </w:rPr>
                    <w:t>委托有资质的单位处理。</w:t>
                  </w:r>
                </w:p>
              </w:tc>
            </w:tr>
          </w:tbl>
          <w:p>
            <w:pPr>
              <w:spacing w:line="360" w:lineRule="auto"/>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2、产品方案</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cs="Times New Roman"/>
                <w:color w:val="auto"/>
                <w:highlight w:val="none"/>
                <w:lang w:val="en-US" w:eastAsia="zh-CN"/>
              </w:rPr>
              <w:t>年</w:t>
            </w:r>
            <w:r>
              <w:rPr>
                <w:rFonts w:hint="default" w:ascii="Times New Roman" w:hAnsi="Times New Roman" w:cs="Times New Roman"/>
                <w:color w:val="auto"/>
                <w:highlight w:val="none"/>
              </w:rPr>
              <w:t>产钢垫板2000吨，年产钢</w:t>
            </w:r>
            <w:r>
              <w:rPr>
                <w:rFonts w:hint="eastAsia" w:cs="Times New Roman"/>
                <w:color w:val="auto"/>
                <w:highlight w:val="none"/>
                <w:lang w:val="en-US" w:eastAsia="zh-CN"/>
              </w:rPr>
              <w:t>结</w:t>
            </w:r>
            <w:r>
              <w:rPr>
                <w:rFonts w:hint="default" w:ascii="Times New Roman" w:hAnsi="Times New Roman" w:cs="Times New Roman"/>
                <w:color w:val="auto"/>
                <w:highlight w:val="none"/>
              </w:rPr>
              <w:t>构3000吨，</w:t>
            </w:r>
            <w:r>
              <w:rPr>
                <w:rFonts w:hint="eastAsia" w:cs="Times New Roman"/>
                <w:color w:val="auto"/>
                <w:highlight w:val="none"/>
                <w:lang w:val="en-US" w:eastAsia="zh-CN"/>
              </w:rPr>
              <w:t>根据建设单位提供资料，</w:t>
            </w:r>
            <w:r>
              <w:rPr>
                <w:rFonts w:hint="default" w:ascii="Times New Roman" w:hAnsi="Times New Roman" w:cs="Times New Roman"/>
                <w:color w:val="auto"/>
                <w:highlight w:val="none"/>
              </w:rPr>
              <w:t>每</w:t>
            </w:r>
            <w:r>
              <w:rPr>
                <w:rFonts w:hint="eastAsia" w:cs="Times New Roman"/>
                <w:color w:val="auto"/>
                <w:highlight w:val="none"/>
                <w:lang w:val="en-US" w:eastAsia="zh-CN"/>
              </w:rPr>
              <w:t>吨钢垫板</w:t>
            </w:r>
            <w:r>
              <w:rPr>
                <w:rFonts w:hint="default" w:ascii="Times New Roman" w:hAnsi="Times New Roman" w:cs="Times New Roman"/>
                <w:color w:val="auto"/>
                <w:highlight w:val="none"/>
              </w:rPr>
              <w:t>平均喷漆面积为30m</w:t>
            </w:r>
            <w:r>
              <w:rPr>
                <w:rFonts w:hint="default" w:ascii="Times New Roman" w:hAnsi="Times New Roman" w:cs="Times New Roman"/>
                <w:color w:val="auto"/>
                <w:highlight w:val="none"/>
                <w:vertAlign w:val="superscript"/>
              </w:rPr>
              <w:t>2</w:t>
            </w:r>
            <w:r>
              <w:rPr>
                <w:rFonts w:hint="eastAsia" w:cs="Times New Roman"/>
                <w:color w:val="auto"/>
                <w:highlight w:val="none"/>
                <w:vertAlign w:val="baseline"/>
                <w:lang w:eastAsia="zh-CN"/>
              </w:rPr>
              <w:t>，</w:t>
            </w:r>
            <w:r>
              <w:rPr>
                <w:rFonts w:hint="eastAsia" w:cs="Times New Roman"/>
                <w:color w:val="auto"/>
                <w:highlight w:val="none"/>
                <w:vertAlign w:val="baseline"/>
                <w:lang w:val="en-US" w:eastAsia="zh-CN"/>
              </w:rPr>
              <w:t>每吨钢结构</w:t>
            </w:r>
            <w:r>
              <w:rPr>
                <w:rFonts w:hint="default" w:ascii="Times New Roman" w:hAnsi="Times New Roman" w:cs="Times New Roman"/>
                <w:color w:val="auto"/>
                <w:highlight w:val="none"/>
              </w:rPr>
              <w:t>平均喷漆面积为30m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w:t>
            </w:r>
          </w:p>
          <w:p>
            <w:pPr>
              <w:spacing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表2-3  产品方案一览表</w:t>
            </w:r>
          </w:p>
          <w:tbl>
            <w:tblPr>
              <w:tblStyle w:val="29"/>
              <w:tblpPr w:leftFromText="181" w:rightFromText="181" w:vertAnchor="text" w:horzAnchor="page"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4"/>
              <w:gridCol w:w="970"/>
              <w:gridCol w:w="1560"/>
              <w:gridCol w:w="1545"/>
              <w:gridCol w:w="1091"/>
              <w:gridCol w:w="1194"/>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4" w:hRule="atLeast"/>
                <w:jc w:val="center"/>
              </w:trPr>
              <w:tc>
                <w:tcPr>
                  <w:tcW w:w="293" w:type="pct"/>
                  <w:vAlign w:val="center"/>
                </w:tcPr>
                <w:p>
                  <w:pPr>
                    <w:pStyle w:val="7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575" w:type="pct"/>
                  <w:vAlign w:val="center"/>
                </w:tcPr>
                <w:p>
                  <w:pPr>
                    <w:pStyle w:val="7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名称</w:t>
                  </w:r>
                </w:p>
              </w:tc>
              <w:tc>
                <w:tcPr>
                  <w:tcW w:w="925" w:type="pct"/>
                  <w:vAlign w:val="center"/>
                </w:tcPr>
                <w:p>
                  <w:pPr>
                    <w:pStyle w:val="72"/>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本项目产量</w:t>
                  </w:r>
                </w:p>
              </w:tc>
              <w:tc>
                <w:tcPr>
                  <w:tcW w:w="916" w:type="pct"/>
                  <w:vAlign w:val="center"/>
                </w:tcPr>
                <w:p>
                  <w:pPr>
                    <w:pStyle w:val="7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规格</w:t>
                  </w:r>
                </w:p>
              </w:tc>
              <w:tc>
                <w:tcPr>
                  <w:tcW w:w="647" w:type="pct"/>
                  <w:vAlign w:val="center"/>
                </w:tcPr>
                <w:p>
                  <w:pPr>
                    <w:pStyle w:val="72"/>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喷漆面积</w:t>
                  </w:r>
                </w:p>
              </w:tc>
              <w:tc>
                <w:tcPr>
                  <w:tcW w:w="708" w:type="pct"/>
                  <w:vAlign w:val="center"/>
                </w:tcPr>
                <w:p>
                  <w:pPr>
                    <w:pStyle w:val="7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用途</w:t>
                  </w:r>
                </w:p>
              </w:tc>
              <w:tc>
                <w:tcPr>
                  <w:tcW w:w="932" w:type="pct"/>
                  <w:vAlign w:val="center"/>
                </w:tcPr>
                <w:p>
                  <w:pPr>
                    <w:pStyle w:val="7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293" w:type="pct"/>
                  <w:vAlign w:val="center"/>
                </w:tcPr>
                <w:p>
                  <w:pPr>
                    <w:pStyle w:val="7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575" w:type="pct"/>
                  <w:vAlign w:val="center"/>
                </w:tcPr>
                <w:p>
                  <w:pPr>
                    <w:pStyle w:val="72"/>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钢垫板</w:t>
                  </w:r>
                </w:p>
              </w:tc>
              <w:tc>
                <w:tcPr>
                  <w:tcW w:w="925" w:type="pct"/>
                  <w:vAlign w:val="center"/>
                </w:tcPr>
                <w:p>
                  <w:pPr>
                    <w:pStyle w:val="72"/>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2000t</w:t>
                  </w:r>
                </w:p>
              </w:tc>
              <w:tc>
                <w:tcPr>
                  <w:tcW w:w="916" w:type="pct"/>
                  <w:vAlign w:val="center"/>
                </w:tcPr>
                <w:p>
                  <w:pPr>
                    <w:pStyle w:val="72"/>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不固定</w:t>
                  </w:r>
                </w:p>
              </w:tc>
              <w:tc>
                <w:tcPr>
                  <w:tcW w:w="647" w:type="pct"/>
                  <w:vAlign w:val="center"/>
                </w:tcPr>
                <w:p>
                  <w:pPr>
                    <w:pStyle w:val="72"/>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30m</w:t>
                  </w:r>
                  <w:r>
                    <w:rPr>
                      <w:rFonts w:hint="default"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vertAlign w:val="baseline"/>
                      <w:lang w:val="en-US" w:eastAsia="zh-CN"/>
                    </w:rPr>
                    <w:t>/吨</w:t>
                  </w:r>
                </w:p>
              </w:tc>
              <w:tc>
                <w:tcPr>
                  <w:tcW w:w="708" w:type="pct"/>
                  <w:vAlign w:val="center"/>
                </w:tcPr>
                <w:p>
                  <w:pPr>
                    <w:pStyle w:val="72"/>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船垫块</w:t>
                  </w:r>
                </w:p>
              </w:tc>
              <w:tc>
                <w:tcPr>
                  <w:tcW w:w="932" w:type="pct"/>
                  <w:vAlign w:val="center"/>
                </w:tcPr>
                <w:p>
                  <w:pPr>
                    <w:pStyle w:val="72"/>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20%喷油性漆，80%喷水性漆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293" w:type="pct"/>
                  <w:vAlign w:val="center"/>
                </w:tcPr>
                <w:p>
                  <w:pPr>
                    <w:pStyle w:val="72"/>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575" w:type="pct"/>
                  <w:vAlign w:val="center"/>
                </w:tcPr>
                <w:p>
                  <w:pPr>
                    <w:pStyle w:val="72"/>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钢结构</w:t>
                  </w:r>
                </w:p>
              </w:tc>
              <w:tc>
                <w:tcPr>
                  <w:tcW w:w="925" w:type="pct"/>
                  <w:vAlign w:val="center"/>
                </w:tcPr>
                <w:p>
                  <w:pPr>
                    <w:pStyle w:val="72"/>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3000t</w:t>
                  </w:r>
                </w:p>
              </w:tc>
              <w:tc>
                <w:tcPr>
                  <w:tcW w:w="916" w:type="pct"/>
                  <w:vAlign w:val="center"/>
                </w:tcPr>
                <w:p>
                  <w:pPr>
                    <w:pStyle w:val="72"/>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不固定</w:t>
                  </w:r>
                </w:p>
              </w:tc>
              <w:tc>
                <w:tcPr>
                  <w:tcW w:w="647" w:type="pct"/>
                  <w:vAlign w:val="center"/>
                </w:tcPr>
                <w:p>
                  <w:pPr>
                    <w:pStyle w:val="7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30m</w:t>
                  </w:r>
                  <w:r>
                    <w:rPr>
                      <w:rFonts w:hint="default"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vertAlign w:val="baseline"/>
                      <w:lang w:val="en-US" w:eastAsia="zh-CN"/>
                    </w:rPr>
                    <w:t>/吨</w:t>
                  </w:r>
                </w:p>
              </w:tc>
              <w:tc>
                <w:tcPr>
                  <w:tcW w:w="708" w:type="pct"/>
                  <w:vAlign w:val="center"/>
                </w:tcPr>
                <w:p>
                  <w:pPr>
                    <w:pStyle w:val="72"/>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建筑施工</w:t>
                  </w:r>
                </w:p>
              </w:tc>
              <w:tc>
                <w:tcPr>
                  <w:tcW w:w="932" w:type="pct"/>
                  <w:vAlign w:val="center"/>
                </w:tcPr>
                <w:p>
                  <w:pPr>
                    <w:pStyle w:val="72"/>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20%喷油性漆，80%喷水性漆</w:t>
                  </w:r>
                </w:p>
              </w:tc>
            </w:tr>
          </w:tbl>
          <w:p>
            <w:pPr>
              <w:spacing w:line="360" w:lineRule="auto"/>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3、本项目生产设备清单</w:t>
            </w:r>
          </w:p>
          <w:p>
            <w:pPr>
              <w:spacing w:line="360" w:lineRule="auto"/>
              <w:ind w:firstLine="480" w:firstLineChars="200"/>
              <w:rPr>
                <w:rFonts w:hint="default" w:ascii="Times New Roman" w:hAnsi="Times New Roman" w:cs="Times New Roman"/>
                <w:b/>
                <w:bCs/>
                <w:color w:val="auto"/>
                <w:sz w:val="21"/>
                <w:szCs w:val="21"/>
                <w:highlight w:val="none"/>
              </w:rPr>
            </w:pPr>
            <w:r>
              <w:rPr>
                <w:rFonts w:hint="default" w:ascii="Times New Roman" w:hAnsi="Times New Roman" w:cs="Times New Roman"/>
                <w:color w:val="auto"/>
                <w:highlight w:val="none"/>
              </w:rPr>
              <w:t>本项目生产设备见下表。</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表2-4  主要设备一览表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70"/>
              <w:gridCol w:w="2390"/>
              <w:gridCol w:w="1251"/>
              <w:gridCol w:w="1448"/>
              <w:gridCol w:w="167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75" w:hRule="atLeast"/>
                <w:tblHeader/>
                <w:jc w:val="center"/>
              </w:trPr>
              <w:tc>
                <w:tcPr>
                  <w:tcW w:w="397" w:type="pct"/>
                  <w:vAlign w:val="center"/>
                </w:tcPr>
                <w:p>
                  <w:pPr>
                    <w:pStyle w:val="60"/>
                    <w:spacing w:before="24" w:after="24"/>
                    <w:ind w:firstLine="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418" w:type="pct"/>
                  <w:vAlign w:val="center"/>
                </w:tcPr>
                <w:p>
                  <w:pPr>
                    <w:pStyle w:val="60"/>
                    <w:spacing w:before="24" w:after="24"/>
                    <w:ind w:firstLine="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742" w:type="pct"/>
                  <w:vAlign w:val="center"/>
                </w:tcPr>
                <w:p>
                  <w:pPr>
                    <w:pStyle w:val="60"/>
                    <w:spacing w:before="24" w:after="24"/>
                    <w:ind w:firstLine="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数量（台）</w:t>
                  </w:r>
                </w:p>
              </w:tc>
              <w:tc>
                <w:tcPr>
                  <w:tcW w:w="859" w:type="pct"/>
                  <w:vAlign w:val="center"/>
                </w:tcPr>
                <w:p>
                  <w:pPr>
                    <w:pStyle w:val="60"/>
                    <w:spacing w:before="24" w:after="24"/>
                    <w:ind w:firstLine="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参数/型号</w:t>
                  </w:r>
                </w:p>
              </w:tc>
              <w:tc>
                <w:tcPr>
                  <w:tcW w:w="994" w:type="pct"/>
                  <w:vAlign w:val="center"/>
                </w:tcPr>
                <w:p>
                  <w:pPr>
                    <w:pStyle w:val="60"/>
                    <w:spacing w:before="24" w:after="24"/>
                    <w:ind w:firstLine="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运行工时（h/d）</w:t>
                  </w:r>
                </w:p>
              </w:tc>
              <w:tc>
                <w:tcPr>
                  <w:tcW w:w="588" w:type="pct"/>
                  <w:vAlign w:val="center"/>
                </w:tcPr>
                <w:p>
                  <w:pPr>
                    <w:pStyle w:val="60"/>
                    <w:spacing w:before="24" w:after="24"/>
                    <w:ind w:firstLine="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使用工序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4" w:hRule="atLeast"/>
                <w:tblHeader/>
                <w:jc w:val="center"/>
              </w:trPr>
              <w:tc>
                <w:tcPr>
                  <w:tcW w:w="5000" w:type="pct"/>
                  <w:gridSpan w:val="6"/>
                  <w:vAlign w:val="center"/>
                </w:tcPr>
                <w:p>
                  <w:pPr>
                    <w:pStyle w:val="60"/>
                    <w:spacing w:before="24" w:after="24"/>
                    <w:ind w:firstLine="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生产车间1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2" w:hRule="atLeast"/>
                <w:tblHeader/>
                <w:jc w:val="center"/>
              </w:trPr>
              <w:tc>
                <w:tcPr>
                  <w:tcW w:w="397" w:type="pct"/>
                  <w:vMerge w:val="restart"/>
                  <w:vAlign w:val="center"/>
                </w:tcPr>
                <w:p>
                  <w:pPr>
                    <w:pStyle w:val="60"/>
                    <w:spacing w:before="24" w:after="24"/>
                    <w:ind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418" w:type="pct"/>
                  <w:vMerge w:val="restar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伸缩式喷漆房</w:t>
                  </w:r>
                </w:p>
              </w:tc>
              <w:tc>
                <w:tcPr>
                  <w:tcW w:w="742" w:type="pct"/>
                  <w:vMerge w:val="restar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w:t>
                  </w:r>
                </w:p>
              </w:tc>
              <w:tc>
                <w:tcPr>
                  <w:tcW w:w="859" w:type="pct"/>
                  <w:vMerge w:val="restar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50m×8m×2.5m</w:t>
                  </w:r>
                </w:p>
              </w:tc>
              <w:tc>
                <w:tcPr>
                  <w:tcW w:w="994"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19.5（喷油性漆）</w:t>
                  </w:r>
                </w:p>
              </w:tc>
              <w:tc>
                <w:tcPr>
                  <w:tcW w:w="588" w:type="pct"/>
                  <w:vMerge w:val="restar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喷漆、晾干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2" w:hRule="atLeast"/>
                <w:tblHeader/>
                <w:jc w:val="center"/>
              </w:trPr>
              <w:tc>
                <w:tcPr>
                  <w:tcW w:w="397" w:type="pct"/>
                  <w:vMerge w:val="continue"/>
                  <w:vAlign w:val="center"/>
                </w:tcPr>
                <w:p>
                  <w:pPr>
                    <w:pStyle w:val="60"/>
                    <w:spacing w:before="24" w:after="24"/>
                    <w:ind w:firstLine="0"/>
                    <w:rPr>
                      <w:color w:val="auto"/>
                      <w:highlight w:val="none"/>
                    </w:rPr>
                  </w:pPr>
                </w:p>
              </w:tc>
              <w:tc>
                <w:tcPr>
                  <w:tcW w:w="1418" w:type="pct"/>
                  <w:vMerge w:val="continue"/>
                  <w:vAlign w:val="center"/>
                </w:tcPr>
                <w:p>
                  <w:pPr>
                    <w:pStyle w:val="60"/>
                    <w:spacing w:before="24" w:after="24"/>
                    <w:ind w:firstLine="0"/>
                    <w:rPr>
                      <w:color w:val="auto"/>
                      <w:highlight w:val="none"/>
                    </w:rPr>
                  </w:pPr>
                </w:p>
              </w:tc>
              <w:tc>
                <w:tcPr>
                  <w:tcW w:w="742" w:type="pct"/>
                  <w:vMerge w:val="continue"/>
                  <w:vAlign w:val="center"/>
                </w:tcPr>
                <w:p>
                  <w:pPr>
                    <w:pStyle w:val="60"/>
                    <w:spacing w:before="24" w:after="24"/>
                    <w:ind w:firstLine="0"/>
                    <w:rPr>
                      <w:color w:val="auto"/>
                      <w:highlight w:val="none"/>
                    </w:rPr>
                  </w:pPr>
                </w:p>
              </w:tc>
              <w:tc>
                <w:tcPr>
                  <w:tcW w:w="859" w:type="pct"/>
                  <w:vMerge w:val="continue"/>
                  <w:vAlign w:val="center"/>
                </w:tcPr>
                <w:p>
                  <w:pPr>
                    <w:pStyle w:val="60"/>
                    <w:spacing w:before="24" w:after="24"/>
                    <w:ind w:firstLine="0"/>
                    <w:rPr>
                      <w:color w:val="auto"/>
                      <w:highlight w:val="none"/>
                    </w:rPr>
                  </w:pPr>
                </w:p>
              </w:tc>
              <w:tc>
                <w:tcPr>
                  <w:tcW w:w="994"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14.5（喷水性漆）</w:t>
                  </w:r>
                </w:p>
              </w:tc>
              <w:tc>
                <w:tcPr>
                  <w:tcW w:w="588" w:type="pct"/>
                  <w:vMerge w:val="continue"/>
                  <w:vAlign w:val="center"/>
                </w:tcPr>
                <w:p>
                  <w:pPr>
                    <w:pStyle w:val="60"/>
                    <w:spacing w:before="24" w:after="24"/>
                    <w:ind w:firstLine="0"/>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blHeader/>
                <w:jc w:val="center"/>
              </w:trPr>
              <w:tc>
                <w:tcPr>
                  <w:tcW w:w="397" w:type="pct"/>
                  <w:vAlign w:val="center"/>
                </w:tcPr>
                <w:p>
                  <w:pPr>
                    <w:pStyle w:val="60"/>
                    <w:spacing w:before="24" w:after="24"/>
                    <w:ind w:firstLine="0" w:firstLineChars="0"/>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418" w:type="pct"/>
                  <w:vAlign w:val="center"/>
                </w:tcPr>
                <w:p>
                  <w:pPr>
                    <w:pStyle w:val="60"/>
                    <w:spacing w:before="24" w:after="24"/>
                    <w:ind w:firstLine="0"/>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喷枪</w:t>
                  </w:r>
                </w:p>
              </w:tc>
              <w:tc>
                <w:tcPr>
                  <w:tcW w:w="742" w:type="pct"/>
                  <w:vAlign w:val="center"/>
                </w:tcPr>
                <w:p>
                  <w:pPr>
                    <w:pStyle w:val="60"/>
                    <w:spacing w:before="24" w:after="24"/>
                    <w:ind w:firstLine="0"/>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w:t>
                  </w:r>
                </w:p>
              </w:tc>
              <w:tc>
                <w:tcPr>
                  <w:tcW w:w="859"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上漆率70%</w:t>
                  </w:r>
                </w:p>
              </w:tc>
              <w:tc>
                <w:tcPr>
                  <w:tcW w:w="994" w:type="pct"/>
                  <w:vAlign w:val="center"/>
                </w:tcPr>
                <w:p>
                  <w:pPr>
                    <w:pStyle w:val="60"/>
                    <w:spacing w:before="24" w:after="24"/>
                    <w:ind w:firstLine="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1" w:hRule="atLeast"/>
                <w:tblHeader/>
                <w:jc w:val="center"/>
              </w:trPr>
              <w:tc>
                <w:tcPr>
                  <w:tcW w:w="397"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418"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火焰切割机</w:t>
                  </w:r>
                </w:p>
              </w:tc>
              <w:tc>
                <w:tcPr>
                  <w:tcW w:w="742"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w:t>
                  </w:r>
                </w:p>
              </w:tc>
              <w:tc>
                <w:tcPr>
                  <w:tcW w:w="859"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94" w:type="pct"/>
                  <w:vAlign w:val="center"/>
                </w:tcPr>
                <w:p>
                  <w:pPr>
                    <w:pStyle w:val="60"/>
                    <w:spacing w:before="24" w:after="24"/>
                    <w:ind w:firstLine="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6" w:hRule="atLeast"/>
                <w:jc w:val="center"/>
              </w:trPr>
              <w:tc>
                <w:tcPr>
                  <w:tcW w:w="397"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418"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埋弧焊机</w:t>
                  </w:r>
                </w:p>
              </w:tc>
              <w:tc>
                <w:tcPr>
                  <w:tcW w:w="742"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w:t>
                  </w:r>
                </w:p>
              </w:tc>
              <w:tc>
                <w:tcPr>
                  <w:tcW w:w="859"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MZ-1-1000</w:t>
                  </w:r>
                </w:p>
              </w:tc>
              <w:tc>
                <w:tcPr>
                  <w:tcW w:w="994" w:type="pct"/>
                  <w:vAlign w:val="center"/>
                </w:tcPr>
                <w:p>
                  <w:pPr>
                    <w:spacing w:before="24" w:after="24"/>
                    <w:ind w:firstLine="0" w:firstLineChars="0"/>
                    <w:jc w:val="center"/>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97"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418"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二氧气体保护焊机</w:t>
                  </w:r>
                </w:p>
              </w:tc>
              <w:tc>
                <w:tcPr>
                  <w:tcW w:w="742"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w:t>
                  </w:r>
                </w:p>
              </w:tc>
              <w:tc>
                <w:tcPr>
                  <w:tcW w:w="859"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w:t>
                  </w:r>
                </w:p>
              </w:tc>
              <w:tc>
                <w:tcPr>
                  <w:tcW w:w="994" w:type="pct"/>
                  <w:vAlign w:val="center"/>
                </w:tcPr>
                <w:p>
                  <w:pPr>
                    <w:spacing w:before="24" w:after="24"/>
                    <w:ind w:firstLine="0" w:firstLineChars="0"/>
                    <w:jc w:val="center"/>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电焊机</w:t>
                  </w:r>
                </w:p>
              </w:tc>
              <w:tc>
                <w:tcPr>
                  <w:tcW w:w="742" w:type="pct"/>
                  <w:vAlign w:val="center"/>
                </w:tcPr>
                <w:p>
                  <w:pPr>
                    <w:pStyle w:val="60"/>
                    <w:spacing w:before="24" w:after="24"/>
                    <w:ind w:firstLine="0" w:firstLineChars="0"/>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BS3-500A</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7</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摇臂钻床</w:t>
                  </w:r>
                </w:p>
              </w:tc>
              <w:tc>
                <w:tcPr>
                  <w:tcW w:w="742" w:type="pct"/>
                  <w:vAlign w:val="center"/>
                </w:tcPr>
                <w:p>
                  <w:pPr>
                    <w:pStyle w:val="60"/>
                    <w:spacing w:before="24" w:after="24"/>
                    <w:ind w:firstLine="0" w:firstLineChars="0"/>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钻孔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8</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角磨机</w:t>
                  </w:r>
                </w:p>
              </w:tc>
              <w:tc>
                <w:tcPr>
                  <w:tcW w:w="742" w:type="pct"/>
                  <w:vAlign w:val="center"/>
                </w:tcPr>
                <w:p>
                  <w:pPr>
                    <w:pStyle w:val="60"/>
                    <w:spacing w:before="24" w:after="24"/>
                    <w:ind w:firstLine="0" w:firstLineChars="0"/>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打磨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1" w:hRule="atLeast"/>
                <w:jc w:val="center"/>
              </w:trPr>
              <w:tc>
                <w:tcPr>
                  <w:tcW w:w="5000" w:type="pct"/>
                  <w:gridSpan w:val="6"/>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生产车间2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1" w:hRule="atLeast"/>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p>
              </w:tc>
              <w:tc>
                <w:tcPr>
                  <w:tcW w:w="1418"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埋弧焊机</w:t>
                  </w:r>
                </w:p>
              </w:tc>
              <w:tc>
                <w:tcPr>
                  <w:tcW w:w="742"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w:t>
                  </w:r>
                </w:p>
              </w:tc>
              <w:tc>
                <w:tcPr>
                  <w:tcW w:w="859"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MZ-1-1000</w:t>
                  </w:r>
                </w:p>
              </w:tc>
              <w:tc>
                <w:tcPr>
                  <w:tcW w:w="994" w:type="pct"/>
                  <w:vAlign w:val="center"/>
                </w:tcPr>
                <w:p>
                  <w:pPr>
                    <w:spacing w:before="24" w:after="24"/>
                    <w:ind w:firstLine="0"/>
                    <w:jc w:val="center"/>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1" w:hRule="atLeast"/>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液压剪板机</w:t>
                  </w:r>
                </w:p>
              </w:tc>
              <w:tc>
                <w:tcPr>
                  <w:tcW w:w="742"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剪板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1" w:hRule="atLeast"/>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火焰切割机</w:t>
                  </w:r>
                </w:p>
              </w:tc>
              <w:tc>
                <w:tcPr>
                  <w:tcW w:w="742"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94"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1" w:hRule="atLeast"/>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半自动火焰切割机</w:t>
                  </w:r>
                </w:p>
              </w:tc>
              <w:tc>
                <w:tcPr>
                  <w:tcW w:w="742" w:type="pct"/>
                  <w:vAlign w:val="center"/>
                </w:tcPr>
                <w:p>
                  <w:pPr>
                    <w:pStyle w:val="60"/>
                    <w:spacing w:before="24" w:after="24"/>
                    <w:ind w:firstLine="0" w:firstLineChars="0"/>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418"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二氧气体保护焊机</w:t>
                  </w:r>
                </w:p>
              </w:tc>
              <w:tc>
                <w:tcPr>
                  <w:tcW w:w="742"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w:t>
                  </w:r>
                </w:p>
              </w:tc>
              <w:tc>
                <w:tcPr>
                  <w:tcW w:w="859"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w:t>
                  </w:r>
                </w:p>
              </w:tc>
              <w:tc>
                <w:tcPr>
                  <w:tcW w:w="994" w:type="pct"/>
                  <w:vAlign w:val="center"/>
                </w:tcPr>
                <w:p>
                  <w:pPr>
                    <w:spacing w:before="24" w:after="24"/>
                    <w:ind w:firstLine="0"/>
                    <w:jc w:val="center"/>
                    <w:rPr>
                      <w:rFonts w:hint="eastAsia" w:ascii="Times New Roman" w:hAnsi="Times New Roman" w:eastAsia="宋体" w:cs="Times New Roman"/>
                      <w:color w:val="auto"/>
                      <w:sz w:val="21"/>
                      <w:szCs w:val="21"/>
                      <w:highlight w:val="none"/>
                      <w:lang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6" w:hRule="atLeast"/>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1418"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电焊机</w:t>
                  </w:r>
                </w:p>
              </w:tc>
              <w:tc>
                <w:tcPr>
                  <w:tcW w:w="742"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w:t>
                  </w:r>
                </w:p>
              </w:tc>
              <w:tc>
                <w:tcPr>
                  <w:tcW w:w="859"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BS3-500A</w:t>
                  </w:r>
                </w:p>
              </w:tc>
              <w:tc>
                <w:tcPr>
                  <w:tcW w:w="994" w:type="pct"/>
                  <w:vAlign w:val="center"/>
                </w:tcPr>
                <w:p>
                  <w:pPr>
                    <w:spacing w:before="24" w:after="24"/>
                    <w:ind w:firstLine="0"/>
                    <w:jc w:val="center"/>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6" w:hRule="atLeast"/>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7</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矫正机</w:t>
                  </w:r>
                </w:p>
              </w:tc>
              <w:tc>
                <w:tcPr>
                  <w:tcW w:w="742"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HYJ-800</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矫正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6" w:hRule="atLeast"/>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8</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H型钢自动组立机</w:t>
                  </w:r>
                </w:p>
              </w:tc>
              <w:tc>
                <w:tcPr>
                  <w:tcW w:w="742" w:type="pct"/>
                  <w:vAlign w:val="center"/>
                </w:tcPr>
                <w:p>
                  <w:pPr>
                    <w:pStyle w:val="60"/>
                    <w:spacing w:before="24" w:after="24"/>
                    <w:ind w:firstLine="0" w:firstLineChars="0"/>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组立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6" w:hRule="atLeast"/>
                <w:jc w:val="center"/>
              </w:trPr>
              <w:tc>
                <w:tcPr>
                  <w:tcW w:w="397"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9</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摇臂钻床</w:t>
                  </w:r>
                </w:p>
              </w:tc>
              <w:tc>
                <w:tcPr>
                  <w:tcW w:w="742" w:type="pct"/>
                  <w:vAlign w:val="center"/>
                </w:tcPr>
                <w:p>
                  <w:pPr>
                    <w:pStyle w:val="60"/>
                    <w:spacing w:before="24" w:after="24"/>
                    <w:ind w:firstLine="0" w:firstLineChars="0"/>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钻孔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w:t>
                  </w:r>
                </w:p>
              </w:tc>
              <w:tc>
                <w:tcPr>
                  <w:tcW w:w="1418"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抛丸机</w:t>
                  </w:r>
                </w:p>
              </w:tc>
              <w:tc>
                <w:tcPr>
                  <w:tcW w:w="742"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w:t>
                  </w:r>
                </w:p>
              </w:tc>
              <w:tc>
                <w:tcPr>
                  <w:tcW w:w="859"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94" w:type="pct"/>
                  <w:vAlign w:val="center"/>
                </w:tcPr>
                <w:p>
                  <w:pPr>
                    <w:spacing w:before="24" w:after="24"/>
                    <w:ind w:firstLine="0"/>
                    <w:jc w:val="center"/>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抛丸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11</w:t>
                  </w:r>
                </w:p>
              </w:tc>
              <w:tc>
                <w:tcPr>
                  <w:tcW w:w="1418"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角磨机</w:t>
                  </w:r>
                </w:p>
              </w:tc>
              <w:tc>
                <w:tcPr>
                  <w:tcW w:w="742"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w:t>
                  </w:r>
                </w:p>
              </w:tc>
              <w:tc>
                <w:tcPr>
                  <w:tcW w:w="859"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w:t>
                  </w:r>
                </w:p>
              </w:tc>
              <w:tc>
                <w:tcPr>
                  <w:tcW w:w="994" w:type="pct"/>
                  <w:vAlign w:val="center"/>
                </w:tcPr>
                <w:p>
                  <w:pPr>
                    <w:spacing w:before="24" w:after="24"/>
                    <w:ind w:firstLine="0"/>
                    <w:jc w:val="center"/>
                    <w:rPr>
                      <w:rFonts w:hint="default" w:asci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588" w:type="pct"/>
                  <w:vAlign w:val="center"/>
                </w:tcPr>
                <w:p>
                  <w:pPr>
                    <w:pStyle w:val="60"/>
                    <w:spacing w:before="24" w:after="24"/>
                    <w:ind w:firstLine="0"/>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打磨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12</w:t>
                  </w:r>
                </w:p>
              </w:tc>
              <w:tc>
                <w:tcPr>
                  <w:tcW w:w="1418"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空压机</w:t>
                  </w:r>
                </w:p>
              </w:tc>
              <w:tc>
                <w:tcPr>
                  <w:tcW w:w="742"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w:t>
                  </w:r>
                </w:p>
              </w:tc>
              <w:tc>
                <w:tcPr>
                  <w:tcW w:w="859"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94" w:type="pct"/>
                  <w:vAlign w:val="center"/>
                </w:tcPr>
                <w:p>
                  <w:pPr>
                    <w:spacing w:before="24" w:after="24"/>
                    <w:ind w:firstLine="0" w:firstLineChars="0"/>
                    <w:jc w:val="center"/>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提供动力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00" w:type="pct"/>
                  <w:gridSpan w:val="6"/>
                  <w:vAlign w:val="center"/>
                </w:tcPr>
                <w:p>
                  <w:pPr>
                    <w:pStyle w:val="60"/>
                    <w:spacing w:before="24" w:after="24"/>
                    <w:ind w:firstLine="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生产车间3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半自动火焰切割机</w:t>
                  </w:r>
                </w:p>
              </w:tc>
              <w:tc>
                <w:tcPr>
                  <w:tcW w:w="742"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9" w:hRule="atLeast"/>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火焰切割机</w:t>
                  </w:r>
                </w:p>
              </w:tc>
              <w:tc>
                <w:tcPr>
                  <w:tcW w:w="742"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94"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埋弧焊机</w:t>
                  </w:r>
                </w:p>
              </w:tc>
              <w:tc>
                <w:tcPr>
                  <w:tcW w:w="742"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MZ-1-1000</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二氧气体保护焊机</w:t>
                  </w:r>
                </w:p>
              </w:tc>
              <w:tc>
                <w:tcPr>
                  <w:tcW w:w="742"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500W</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5</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电焊机</w:t>
                  </w:r>
                </w:p>
              </w:tc>
              <w:tc>
                <w:tcPr>
                  <w:tcW w:w="742" w:type="pct"/>
                  <w:vAlign w:val="center"/>
                </w:tcPr>
                <w:p>
                  <w:pPr>
                    <w:pStyle w:val="60"/>
                    <w:spacing w:before="24" w:after="24"/>
                    <w:ind w:firstLine="0" w:firstLineChars="0"/>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BS3-500A</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角磨机</w:t>
                  </w:r>
                </w:p>
              </w:tc>
              <w:tc>
                <w:tcPr>
                  <w:tcW w:w="742"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打磨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7</w:t>
                  </w:r>
                </w:p>
              </w:tc>
              <w:tc>
                <w:tcPr>
                  <w:tcW w:w="141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抛丸机</w:t>
                  </w:r>
                </w:p>
              </w:tc>
              <w:tc>
                <w:tcPr>
                  <w:tcW w:w="742"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w:t>
                  </w:r>
                </w:p>
              </w:tc>
              <w:tc>
                <w:tcPr>
                  <w:tcW w:w="859"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94" w:type="pct"/>
                  <w:vAlign w:val="center"/>
                </w:tcPr>
                <w:p>
                  <w:pPr>
                    <w:spacing w:before="24" w:after="24"/>
                    <w:ind w:firstLine="0" w:firstLineChars="0"/>
                    <w:jc w:val="center"/>
                    <w:rPr>
                      <w:rFonts w:hint="eastAsia"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抛丸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8</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矫正机</w:t>
                  </w:r>
                </w:p>
              </w:tc>
              <w:tc>
                <w:tcPr>
                  <w:tcW w:w="742"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HYJ-800</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矫正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9</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钻床</w:t>
                  </w:r>
                </w:p>
              </w:tc>
              <w:tc>
                <w:tcPr>
                  <w:tcW w:w="742"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钻孔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w:t>
                  </w:r>
                </w:p>
              </w:tc>
              <w:tc>
                <w:tcPr>
                  <w:tcW w:w="1418"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H型钢自动组立机</w:t>
                  </w:r>
                </w:p>
              </w:tc>
              <w:tc>
                <w:tcPr>
                  <w:tcW w:w="742"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w:t>
                  </w:r>
                </w:p>
              </w:tc>
              <w:tc>
                <w:tcPr>
                  <w:tcW w:w="859" w:type="pct"/>
                  <w:vAlign w:val="center"/>
                </w:tcPr>
                <w:p>
                  <w:pPr>
                    <w:pStyle w:val="60"/>
                    <w:spacing w:before="24" w:after="24"/>
                    <w:ind w:firstLine="0" w:firstLineChars="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994" w:type="pct"/>
                  <w:vAlign w:val="center"/>
                </w:tcPr>
                <w:p>
                  <w:pPr>
                    <w:spacing w:before="24" w:after="24"/>
                    <w:ind w:firstLine="0" w:firstLineChars="0"/>
                    <w:jc w:val="center"/>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firstLineChars="0"/>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组立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5000" w:type="pct"/>
                  <w:gridSpan w:val="6"/>
                  <w:vAlign w:val="center"/>
                </w:tcPr>
                <w:p>
                  <w:pPr>
                    <w:pStyle w:val="60"/>
                    <w:spacing w:before="24" w:after="24"/>
                    <w:ind w:firstLine="0" w:firstLineChars="0"/>
                    <w:rPr>
                      <w:rFonts w:hint="default"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环保设备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418"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1#布袋除尘器+</w:t>
                  </w:r>
                  <w:r>
                    <w:rPr>
                      <w:rFonts w:hint="eastAsia" w:ascii="Times New Roman"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风机</w:t>
                  </w:r>
                </w:p>
              </w:tc>
              <w:tc>
                <w:tcPr>
                  <w:tcW w:w="742"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859"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风量为</w:t>
                  </w:r>
                  <w:r>
                    <w:rPr>
                      <w:rFonts w:hint="eastAsia" w:ascii="Times New Roman" w:cs="Times New Roman"/>
                      <w:color w:val="auto"/>
                      <w:sz w:val="21"/>
                      <w:szCs w:val="21"/>
                      <w:highlight w:val="none"/>
                      <w:lang w:val="en-US" w:eastAsia="zh-CN"/>
                    </w:rPr>
                    <w:t>6000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994" w:type="pct"/>
                  <w:vAlign w:val="center"/>
                </w:tcPr>
                <w:p>
                  <w:pPr>
                    <w:spacing w:before="24" w:after="24"/>
                    <w:ind w:firstLine="0" w:firstLineChars="0"/>
                    <w:jc w:val="center"/>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6</w:t>
                  </w:r>
                </w:p>
              </w:tc>
              <w:tc>
                <w:tcPr>
                  <w:tcW w:w="588"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颗粒物处理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w:t>
                  </w:r>
                </w:p>
              </w:tc>
              <w:tc>
                <w:tcPr>
                  <w:tcW w:w="1418" w:type="pct"/>
                  <w:vAlign w:val="center"/>
                </w:tcPr>
                <w:p>
                  <w:pPr>
                    <w:pStyle w:val="60"/>
                    <w:spacing w:before="24" w:after="24"/>
                    <w:ind w:firstLine="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2#布袋除尘器+</w:t>
                  </w:r>
                  <w:r>
                    <w:rPr>
                      <w:rFonts w:hint="eastAsia" w:ascii="Times New Roman"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风机</w:t>
                  </w:r>
                </w:p>
              </w:tc>
              <w:tc>
                <w:tcPr>
                  <w:tcW w:w="742"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859" w:type="pct"/>
                  <w:vAlign w:val="center"/>
                </w:tcPr>
                <w:p>
                  <w:pPr>
                    <w:spacing w:before="24" w:after="24"/>
                    <w:ind w:firstLine="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风量为</w:t>
                  </w:r>
                  <w:r>
                    <w:rPr>
                      <w:rFonts w:hint="eastAsia" w:cs="Times New Roman"/>
                      <w:color w:val="auto"/>
                      <w:sz w:val="21"/>
                      <w:szCs w:val="21"/>
                      <w:highlight w:val="none"/>
                      <w:lang w:val="en-US" w:eastAsia="zh-CN"/>
                    </w:rPr>
                    <w:t>8000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994" w:type="pct"/>
                  <w:vAlign w:val="center"/>
                </w:tcPr>
                <w:p>
                  <w:pPr>
                    <w:spacing w:before="24" w:after="24"/>
                    <w:ind w:firstLine="0" w:firstLineChars="0"/>
                    <w:jc w:val="center"/>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6</w:t>
                  </w:r>
                </w:p>
              </w:tc>
              <w:tc>
                <w:tcPr>
                  <w:tcW w:w="588" w:type="pct"/>
                  <w:vAlign w:val="center"/>
                </w:tcPr>
                <w:p>
                  <w:pPr>
                    <w:spacing w:before="24" w:after="24"/>
                    <w:ind w:firstLine="0"/>
                    <w:jc w:val="center"/>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颗粒物处理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w:t>
                  </w:r>
                </w:p>
              </w:tc>
              <w:tc>
                <w:tcPr>
                  <w:tcW w:w="1418" w:type="pct"/>
                  <w:vAlign w:val="center"/>
                </w:tcPr>
                <w:p>
                  <w:pPr>
                    <w:pStyle w:val="60"/>
                    <w:spacing w:before="24" w:after="24"/>
                    <w:ind w:firstLine="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3#布袋除尘器+</w:t>
                  </w:r>
                  <w:r>
                    <w:rPr>
                      <w:rFonts w:hint="eastAsia" w:ascii="Times New Roman"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风机</w:t>
                  </w:r>
                </w:p>
              </w:tc>
              <w:tc>
                <w:tcPr>
                  <w:tcW w:w="742"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859" w:type="pct"/>
                  <w:vAlign w:val="center"/>
                </w:tcPr>
                <w:p>
                  <w:pPr>
                    <w:spacing w:before="24" w:after="24"/>
                    <w:ind w:firstLine="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风量为</w:t>
                  </w:r>
                  <w:r>
                    <w:rPr>
                      <w:rFonts w:hint="eastAsia" w:cs="Times New Roman"/>
                      <w:color w:val="auto"/>
                      <w:sz w:val="21"/>
                      <w:szCs w:val="21"/>
                      <w:highlight w:val="none"/>
                      <w:lang w:val="en-US" w:eastAsia="zh-CN"/>
                    </w:rPr>
                    <w:t>5000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994" w:type="pct"/>
                  <w:vAlign w:val="center"/>
                </w:tcPr>
                <w:p>
                  <w:pPr>
                    <w:spacing w:before="24" w:after="24"/>
                    <w:ind w:firstLine="0" w:firstLineChars="0"/>
                    <w:jc w:val="center"/>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6</w:t>
                  </w:r>
                </w:p>
              </w:tc>
              <w:tc>
                <w:tcPr>
                  <w:tcW w:w="588" w:type="pct"/>
                  <w:vAlign w:val="center"/>
                </w:tcPr>
                <w:p>
                  <w:pPr>
                    <w:spacing w:before="24" w:after="24"/>
                    <w:ind w:firstLine="0"/>
                    <w:jc w:val="center"/>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颗粒物处理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w:t>
                  </w:r>
                </w:p>
              </w:tc>
              <w:tc>
                <w:tcPr>
                  <w:tcW w:w="1418" w:type="pct"/>
                  <w:vAlign w:val="center"/>
                </w:tcPr>
                <w:p>
                  <w:pPr>
                    <w:pStyle w:val="60"/>
                    <w:spacing w:before="24" w:after="24"/>
                    <w:ind w:firstLine="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4#布袋除尘器+</w:t>
                  </w:r>
                  <w:r>
                    <w:rPr>
                      <w:rFonts w:hint="eastAsia" w:ascii="Times New Roman"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风机</w:t>
                  </w:r>
                </w:p>
              </w:tc>
              <w:tc>
                <w:tcPr>
                  <w:tcW w:w="742"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859" w:type="pct"/>
                  <w:vAlign w:val="center"/>
                </w:tcPr>
                <w:p>
                  <w:pPr>
                    <w:spacing w:before="24" w:after="24"/>
                    <w:ind w:firstLine="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风量为</w:t>
                  </w:r>
                  <w:r>
                    <w:rPr>
                      <w:rFonts w:hint="eastAsia" w:cs="Times New Roman"/>
                      <w:color w:val="auto"/>
                      <w:sz w:val="21"/>
                      <w:szCs w:val="21"/>
                      <w:highlight w:val="none"/>
                      <w:lang w:val="en-US" w:eastAsia="zh-CN"/>
                    </w:rPr>
                    <w:t>8000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994" w:type="pct"/>
                  <w:vAlign w:val="center"/>
                </w:tcPr>
                <w:p>
                  <w:pPr>
                    <w:spacing w:before="24" w:after="24"/>
                    <w:ind w:firstLine="0" w:firstLineChars="0"/>
                    <w:jc w:val="center"/>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6</w:t>
                  </w:r>
                </w:p>
              </w:tc>
              <w:tc>
                <w:tcPr>
                  <w:tcW w:w="588" w:type="pct"/>
                  <w:vAlign w:val="center"/>
                </w:tcPr>
                <w:p>
                  <w:pPr>
                    <w:spacing w:before="24" w:after="24"/>
                    <w:ind w:firstLine="0"/>
                    <w:jc w:val="center"/>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颗粒物处理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397" w:type="pct"/>
                  <w:vAlign w:val="center"/>
                </w:tcPr>
                <w:p>
                  <w:pPr>
                    <w:pStyle w:val="60"/>
                    <w:spacing w:before="24" w:after="24"/>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w:t>
                  </w:r>
                </w:p>
              </w:tc>
              <w:tc>
                <w:tcPr>
                  <w:tcW w:w="1418" w:type="pct"/>
                  <w:vAlign w:val="center"/>
                </w:tcPr>
                <w:p>
                  <w:pPr>
                    <w:pStyle w:val="60"/>
                    <w:spacing w:before="24" w:after="24"/>
                    <w:ind w:firstLine="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5#布袋除尘器+</w:t>
                  </w:r>
                  <w:r>
                    <w:rPr>
                      <w:rFonts w:hint="eastAsia" w:ascii="Times New Roman"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风机</w:t>
                  </w:r>
                </w:p>
              </w:tc>
              <w:tc>
                <w:tcPr>
                  <w:tcW w:w="742"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859" w:type="pct"/>
                  <w:vAlign w:val="center"/>
                </w:tcPr>
                <w:p>
                  <w:pPr>
                    <w:spacing w:before="24" w:after="24"/>
                    <w:ind w:firstLine="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风量为</w:t>
                  </w:r>
                  <w:r>
                    <w:rPr>
                      <w:rFonts w:hint="eastAsia" w:cs="Times New Roman"/>
                      <w:color w:val="auto"/>
                      <w:sz w:val="21"/>
                      <w:szCs w:val="21"/>
                      <w:highlight w:val="none"/>
                      <w:lang w:val="en-US" w:eastAsia="zh-CN"/>
                    </w:rPr>
                    <w:t>5000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994" w:type="pct"/>
                  <w:vAlign w:val="center"/>
                </w:tcPr>
                <w:p>
                  <w:pPr>
                    <w:spacing w:before="24" w:after="24"/>
                    <w:ind w:firstLine="0" w:firstLineChars="0"/>
                    <w:jc w:val="center"/>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6</w:t>
                  </w:r>
                </w:p>
              </w:tc>
              <w:tc>
                <w:tcPr>
                  <w:tcW w:w="588" w:type="pct"/>
                  <w:vAlign w:val="center"/>
                </w:tcPr>
                <w:p>
                  <w:pPr>
                    <w:spacing w:before="24" w:after="24"/>
                    <w:ind w:firstLine="0"/>
                    <w:jc w:val="center"/>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颗粒物处理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4" w:hRule="atLeast"/>
                <w:jc w:val="center"/>
              </w:trPr>
              <w:tc>
                <w:tcPr>
                  <w:tcW w:w="397" w:type="pct"/>
                  <w:vMerge w:val="restart"/>
                  <w:vAlign w:val="center"/>
                </w:tcPr>
                <w:p>
                  <w:pPr>
                    <w:pStyle w:val="60"/>
                    <w:spacing w:before="24" w:after="24"/>
                    <w:ind w:firstLine="0"/>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w:t>
                  </w:r>
                </w:p>
              </w:tc>
              <w:tc>
                <w:tcPr>
                  <w:tcW w:w="1418" w:type="pct"/>
                  <w:vMerge w:val="restar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水帘+干式过滤棉+</w:t>
                  </w:r>
                  <w:r>
                    <w:rPr>
                      <w:rFonts w:hint="eastAsia" w:ascii="Times New Roman" w:cs="Times New Roman"/>
                      <w:color w:val="auto"/>
                      <w:sz w:val="21"/>
                      <w:szCs w:val="21"/>
                      <w:highlight w:val="none"/>
                      <w:lang w:val="en-US" w:eastAsia="zh-CN"/>
                    </w:rPr>
                    <w:t>活性炭吸附、脱附催化燃烧</w:t>
                  </w:r>
                  <w:r>
                    <w:rPr>
                      <w:rFonts w:hint="eastAsia" w:ascii="Times New Roman" w:hAnsi="Times New Roman" w:eastAsia="宋体" w:cs="Times New Roman"/>
                      <w:color w:val="auto"/>
                      <w:sz w:val="21"/>
                      <w:szCs w:val="21"/>
                      <w:highlight w:val="none"/>
                      <w:lang w:val="en-US" w:eastAsia="zh-CN"/>
                    </w:rPr>
                    <w:t>装置</w:t>
                  </w:r>
                </w:p>
              </w:tc>
              <w:tc>
                <w:tcPr>
                  <w:tcW w:w="742" w:type="pct"/>
                  <w:vMerge w:val="restar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859" w:type="pct"/>
                  <w:vMerge w:val="restart"/>
                  <w:vAlign w:val="center"/>
                </w:tcPr>
                <w:p>
                  <w:pPr>
                    <w:spacing w:before="24" w:after="24"/>
                    <w:ind w:firstLine="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风量为</w:t>
                  </w:r>
                  <w:r>
                    <w:rPr>
                      <w:rFonts w:hint="eastAsia" w:cs="Times New Roman"/>
                      <w:color w:val="auto"/>
                      <w:sz w:val="21"/>
                      <w:szCs w:val="21"/>
                      <w:highlight w:val="none"/>
                      <w:lang w:val="en-US" w:eastAsia="zh-CN"/>
                    </w:rPr>
                    <w:t>30000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994"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20（喷油性漆）</w:t>
                  </w:r>
                </w:p>
              </w:tc>
              <w:tc>
                <w:tcPr>
                  <w:tcW w:w="588" w:type="pct"/>
                  <w:vMerge w:val="restar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有机废气和异味处理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4" w:hRule="atLeast"/>
                <w:jc w:val="center"/>
              </w:trPr>
              <w:tc>
                <w:tcPr>
                  <w:tcW w:w="397" w:type="pct"/>
                  <w:vMerge w:val="continue"/>
                  <w:vAlign w:val="center"/>
                </w:tcPr>
                <w:p>
                  <w:pPr>
                    <w:pStyle w:val="60"/>
                    <w:spacing w:before="24" w:after="24"/>
                    <w:ind w:firstLine="0"/>
                    <w:rPr>
                      <w:color w:val="auto"/>
                      <w:highlight w:val="none"/>
                    </w:rPr>
                  </w:pPr>
                </w:p>
              </w:tc>
              <w:tc>
                <w:tcPr>
                  <w:tcW w:w="1418" w:type="pct"/>
                  <w:vMerge w:val="continue"/>
                  <w:vAlign w:val="center"/>
                </w:tcPr>
                <w:p>
                  <w:pPr>
                    <w:pStyle w:val="60"/>
                    <w:spacing w:before="24" w:after="24"/>
                    <w:ind w:firstLine="0"/>
                    <w:rPr>
                      <w:color w:val="auto"/>
                      <w:highlight w:val="none"/>
                    </w:rPr>
                  </w:pPr>
                </w:p>
              </w:tc>
              <w:tc>
                <w:tcPr>
                  <w:tcW w:w="742" w:type="pct"/>
                  <w:vMerge w:val="continue"/>
                  <w:vAlign w:val="center"/>
                </w:tcPr>
                <w:p>
                  <w:pPr>
                    <w:pStyle w:val="60"/>
                    <w:spacing w:before="24" w:after="24"/>
                    <w:ind w:firstLine="0"/>
                    <w:rPr>
                      <w:color w:val="auto"/>
                      <w:highlight w:val="none"/>
                    </w:rPr>
                  </w:pPr>
                </w:p>
              </w:tc>
              <w:tc>
                <w:tcPr>
                  <w:tcW w:w="859" w:type="pct"/>
                  <w:vMerge w:val="continue"/>
                  <w:vAlign w:val="center"/>
                </w:tcPr>
                <w:p>
                  <w:pPr>
                    <w:pStyle w:val="60"/>
                    <w:spacing w:before="24" w:after="24"/>
                    <w:ind w:firstLine="0"/>
                    <w:rPr>
                      <w:color w:val="auto"/>
                      <w:highlight w:val="none"/>
                    </w:rPr>
                  </w:pPr>
                </w:p>
              </w:tc>
              <w:tc>
                <w:tcPr>
                  <w:tcW w:w="994" w:type="pct"/>
                  <w:vAlign w:val="center"/>
                </w:tcPr>
                <w:p>
                  <w:pPr>
                    <w:pStyle w:val="60"/>
                    <w:spacing w:before="24" w:after="24"/>
                    <w:ind w:firstLine="0"/>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15（喷水性漆）</w:t>
                  </w:r>
                </w:p>
              </w:tc>
              <w:tc>
                <w:tcPr>
                  <w:tcW w:w="588" w:type="pct"/>
                  <w:vMerge w:val="continue"/>
                  <w:vAlign w:val="center"/>
                </w:tcPr>
                <w:p>
                  <w:pPr>
                    <w:pStyle w:val="60"/>
                    <w:spacing w:before="24" w:after="24"/>
                    <w:ind w:firstLine="0"/>
                    <w:rPr>
                      <w:rFonts w:hint="default" w:ascii="Times New Roman" w:hAnsi="Times New Roman" w:cs="Times New Roman"/>
                      <w:color w:val="auto"/>
                      <w:sz w:val="21"/>
                      <w:szCs w:val="21"/>
                      <w:highlight w:val="none"/>
                    </w:rPr>
                  </w:pPr>
                </w:p>
              </w:tc>
            </w:tr>
          </w:tbl>
          <w:p>
            <w:pPr>
              <w:spacing w:line="360" w:lineRule="auto"/>
              <w:ind w:firstLine="422" w:firstLineChars="200"/>
              <w:jc w:val="left"/>
              <w:rPr>
                <w:rFonts w:hint="eastAsia"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rPr>
              <w:t>注：本项目</w:t>
            </w:r>
            <w:r>
              <w:rPr>
                <w:rFonts w:hint="eastAsia" w:cs="Times New Roman"/>
                <w:b/>
                <w:bCs/>
                <w:color w:val="auto"/>
                <w:sz w:val="21"/>
                <w:szCs w:val="21"/>
                <w:highlight w:val="none"/>
                <w:lang w:val="en-US" w:eastAsia="zh-CN"/>
              </w:rPr>
              <w:t>伸缩式喷漆房</w:t>
            </w:r>
            <w:r>
              <w:rPr>
                <w:rFonts w:hint="default" w:ascii="Times New Roman" w:hAnsi="Times New Roman" w:cs="Times New Roman"/>
                <w:b/>
                <w:bCs/>
                <w:color w:val="auto"/>
                <w:sz w:val="21"/>
                <w:szCs w:val="21"/>
                <w:highlight w:val="none"/>
              </w:rPr>
              <w:t>水帘柜位于地上，水帘柜下方和危废间均做防渗涂层，水帘柜材质为不锈钢，水帘柜安装不锈钢防渗托盘，水帘柜不与地面不直接接触，如发生泄漏能够及时被发现，不会下渗或流出车间，无污染途径</w:t>
            </w:r>
            <w:r>
              <w:rPr>
                <w:rFonts w:hint="eastAsia" w:cs="Times New Roman"/>
                <w:b/>
                <w:bCs/>
                <w:color w:val="auto"/>
                <w:sz w:val="21"/>
                <w:szCs w:val="21"/>
                <w:highlight w:val="none"/>
                <w:lang w:eastAsia="zh-CN"/>
              </w:rPr>
              <w:t>。</w:t>
            </w:r>
          </w:p>
          <w:p>
            <w:pPr>
              <w:spacing w:line="360" w:lineRule="auto"/>
              <w:ind w:firstLine="48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4、原辅材料</w:t>
            </w:r>
          </w:p>
          <w:p>
            <w:pPr>
              <w:spacing w:line="360" w:lineRule="auto"/>
              <w:ind w:firstLine="480" w:firstLineChars="200"/>
              <w:jc w:val="left"/>
              <w:rPr>
                <w:rFonts w:hint="default" w:ascii="Times New Roman" w:hAnsi="Times New Roman" w:cs="Times New Roman"/>
                <w:b/>
                <w:bCs/>
                <w:color w:val="auto"/>
                <w:sz w:val="21"/>
                <w:szCs w:val="21"/>
                <w:highlight w:val="none"/>
              </w:rPr>
            </w:pPr>
            <w:r>
              <w:rPr>
                <w:rFonts w:hint="default" w:ascii="Times New Roman" w:hAnsi="Times New Roman" w:cs="Times New Roman"/>
                <w:color w:val="auto"/>
                <w:highlight w:val="none"/>
              </w:rPr>
              <w:t>本项目原辅料使用情况如下。</w:t>
            </w:r>
          </w:p>
          <w:p>
            <w:pPr>
              <w:spacing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表2-5 主要原辅料情况一览表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543"/>
              <w:gridCol w:w="992"/>
              <w:gridCol w:w="961"/>
              <w:gridCol w:w="749"/>
              <w:gridCol w:w="941"/>
              <w:gridCol w:w="708"/>
              <w:gridCol w:w="944"/>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序号</w:t>
                  </w:r>
                </w:p>
              </w:tc>
              <w:tc>
                <w:tcPr>
                  <w:tcW w:w="910" w:type="pct"/>
                  <w:gridSpan w:val="2"/>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样品名称</w:t>
                  </w:r>
                </w:p>
              </w:tc>
              <w:tc>
                <w:tcPr>
                  <w:tcW w:w="57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包装规格</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年耗量</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最大储存量</w:t>
                  </w:r>
                </w:p>
              </w:tc>
              <w:tc>
                <w:tcPr>
                  <w:tcW w:w="42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形状</w:t>
                  </w:r>
                </w:p>
              </w:tc>
              <w:tc>
                <w:tcPr>
                  <w:tcW w:w="56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存储位置</w:t>
                  </w:r>
                </w:p>
              </w:tc>
              <w:tc>
                <w:tcPr>
                  <w:tcW w:w="1261"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74" w:type="pct"/>
                  <w:vMerge w:val="restar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w:t>
                  </w:r>
                </w:p>
              </w:tc>
              <w:tc>
                <w:tcPr>
                  <w:tcW w:w="322" w:type="pct"/>
                  <w:vMerge w:val="restart"/>
                  <w:vAlign w:val="center"/>
                </w:tcPr>
                <w:p>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钢材</w:t>
                  </w:r>
                </w:p>
              </w:tc>
              <w:tc>
                <w:tcPr>
                  <w:tcW w:w="588" w:type="pct"/>
                  <w:vAlign w:val="center"/>
                </w:tcPr>
                <w:p>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钢板</w:t>
                  </w:r>
                </w:p>
              </w:tc>
              <w:tc>
                <w:tcPr>
                  <w:tcW w:w="570" w:type="pct"/>
                  <w:vMerge w:val="restar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打捆</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3000</w:t>
                  </w:r>
                  <w:r>
                    <w:rPr>
                      <w:rFonts w:hint="default" w:ascii="Times New Roman" w:hAnsi="Times New Roman" w:eastAsia="宋体" w:cs="Times New Roman"/>
                      <w:color w:val="auto"/>
                      <w:sz w:val="21"/>
                      <w:szCs w:val="21"/>
                      <w:highlight w:val="none"/>
                      <w:lang w:val="en-US" w:eastAsia="zh-CN" w:bidi="ar-SA"/>
                    </w:rPr>
                    <w:t>t</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w:t>
                  </w:r>
                  <w:r>
                    <w:rPr>
                      <w:rFonts w:hint="eastAsia" w:ascii="Times New Roman" w:hAnsi="Times New Roman" w:eastAsia="宋体" w:cs="Times New Roman"/>
                      <w:color w:val="auto"/>
                      <w:sz w:val="21"/>
                      <w:szCs w:val="21"/>
                      <w:highlight w:val="none"/>
                      <w:lang w:val="en-US" w:eastAsia="zh-CN" w:bidi="ar-SA"/>
                    </w:rPr>
                    <w:t>0</w:t>
                  </w:r>
                  <w:r>
                    <w:rPr>
                      <w:rFonts w:hint="default" w:ascii="Times New Roman" w:hAnsi="Times New Roman" w:eastAsia="宋体" w:cs="Times New Roman"/>
                      <w:color w:val="auto"/>
                      <w:sz w:val="21"/>
                      <w:szCs w:val="21"/>
                      <w:highlight w:val="none"/>
                      <w:lang w:val="en-US" w:eastAsia="zh-CN" w:bidi="ar-SA"/>
                    </w:rPr>
                    <w:t>0t</w:t>
                  </w:r>
                </w:p>
              </w:tc>
              <w:tc>
                <w:tcPr>
                  <w:tcW w:w="420" w:type="pct"/>
                  <w:vMerge w:val="restar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固态</w:t>
                  </w:r>
                </w:p>
              </w:tc>
              <w:tc>
                <w:tcPr>
                  <w:tcW w:w="560" w:type="pct"/>
                  <w:vMerge w:val="restar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原料区</w:t>
                  </w:r>
                </w:p>
              </w:tc>
              <w:tc>
                <w:tcPr>
                  <w:tcW w:w="1261" w:type="pct"/>
                  <w:vMerge w:val="restar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作为产品原料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74" w:type="pct"/>
                  <w:vMerge w:val="continue"/>
                  <w:vAlign w:val="center"/>
                </w:tcPr>
                <w:p>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322" w:type="pct"/>
                  <w:vMerge w:val="continue"/>
                  <w:vAlign w:val="center"/>
                </w:tcPr>
                <w:p>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88" w:type="pct"/>
                  <w:vAlign w:val="center"/>
                </w:tcPr>
                <w:p>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型材</w:t>
                  </w:r>
                </w:p>
              </w:tc>
              <w:tc>
                <w:tcPr>
                  <w:tcW w:w="570" w:type="pct"/>
                  <w:vMerge w:val="continue"/>
                  <w:vAlign w:val="center"/>
                </w:tcPr>
                <w:p>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444" w:type="pct"/>
                  <w:vAlign w:val="center"/>
                </w:tcPr>
                <w:p>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2000t</w:t>
                  </w:r>
                </w:p>
              </w:tc>
              <w:tc>
                <w:tcPr>
                  <w:tcW w:w="558"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100</w:t>
                  </w:r>
                  <w:r>
                    <w:rPr>
                      <w:rFonts w:hint="default" w:ascii="Times New Roman" w:hAnsi="Times New Roman" w:eastAsia="宋体" w:cs="Times New Roman"/>
                      <w:color w:val="auto"/>
                      <w:kern w:val="0"/>
                      <w:sz w:val="21"/>
                      <w:szCs w:val="21"/>
                      <w:highlight w:val="none"/>
                      <w:lang w:val="en-US" w:eastAsia="zh-CN" w:bidi="ar-SA"/>
                    </w:rPr>
                    <w:t>t</w:t>
                  </w:r>
                </w:p>
              </w:tc>
              <w:tc>
                <w:tcPr>
                  <w:tcW w:w="420" w:type="pct"/>
                  <w:vMerge w:val="continue"/>
                  <w:vAlign w:val="center"/>
                </w:tcPr>
                <w:p>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560" w:type="pct"/>
                  <w:vMerge w:val="continue"/>
                  <w:vAlign w:val="center"/>
                </w:tcPr>
                <w:p>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261" w:type="pct"/>
                  <w:vMerge w:val="continue"/>
                  <w:vAlign w:val="center"/>
                </w:tcPr>
                <w:p>
                  <w:pPr>
                    <w:pStyle w:val="67"/>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w:t>
                  </w:r>
                </w:p>
              </w:tc>
              <w:tc>
                <w:tcPr>
                  <w:tcW w:w="910" w:type="pct"/>
                  <w:gridSpan w:val="2"/>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水性漆</w:t>
                  </w:r>
                </w:p>
              </w:tc>
              <w:tc>
                <w:tcPr>
                  <w:tcW w:w="57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25kg/桶</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27.3</w:t>
                  </w:r>
                  <w:r>
                    <w:rPr>
                      <w:rFonts w:hint="default" w:ascii="Times New Roman" w:hAnsi="Times New Roman" w:eastAsia="宋体" w:cs="Times New Roman"/>
                      <w:color w:val="auto"/>
                      <w:kern w:val="0"/>
                      <w:sz w:val="21"/>
                      <w:szCs w:val="21"/>
                      <w:highlight w:val="none"/>
                      <w:lang w:val="en-US" w:eastAsia="zh-CN" w:bidi="ar-SA"/>
                    </w:rPr>
                    <w:t>t</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0.5</w:t>
                  </w:r>
                  <w:r>
                    <w:rPr>
                      <w:rFonts w:hint="default" w:ascii="Times New Roman" w:hAnsi="Times New Roman" w:eastAsia="宋体" w:cs="Times New Roman"/>
                      <w:color w:val="auto"/>
                      <w:kern w:val="0"/>
                      <w:sz w:val="21"/>
                      <w:szCs w:val="21"/>
                      <w:highlight w:val="none"/>
                      <w:lang w:val="en-US" w:eastAsia="zh-CN" w:bidi="ar-SA"/>
                    </w:rPr>
                    <w:t>t</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液态</w:t>
                  </w:r>
                </w:p>
              </w:tc>
              <w:tc>
                <w:tcPr>
                  <w:tcW w:w="56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漆料间</w:t>
                  </w:r>
                </w:p>
              </w:tc>
              <w:tc>
                <w:tcPr>
                  <w:tcW w:w="1261"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使用时水性漆与水配比为10:1</w:t>
                  </w:r>
                  <w:r>
                    <w:rPr>
                      <w:rFonts w:hint="eastAsia" w:ascii="Times New Roman" w:hAnsi="Times New Roman" w:eastAsia="宋体" w:cs="Times New Roman"/>
                      <w:color w:val="auto"/>
                      <w:kern w:val="0"/>
                      <w:sz w:val="21"/>
                      <w:szCs w:val="21"/>
                      <w:highlight w:val="none"/>
                      <w:lang w:val="en-US" w:eastAsia="zh-CN" w:bidi="ar-SA"/>
                    </w:rPr>
                    <w:t>。本项目底漆、面漆为同一种水性漆。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w:t>
                  </w:r>
                </w:p>
              </w:tc>
              <w:tc>
                <w:tcPr>
                  <w:tcW w:w="910" w:type="pct"/>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ascii="Times New Roman" w:hAnsi="Times New Roman" w:cs="Times New Roman" w:eastAsiaTheme="minorEastAsia"/>
                      <w:color w:val="auto"/>
                      <w:sz w:val="21"/>
                      <w:szCs w:val="21"/>
                      <w:highlight w:val="none"/>
                    </w:rPr>
                    <w:t>环氧有机富锌底漆A组分</w:t>
                  </w:r>
                </w:p>
              </w:tc>
              <w:tc>
                <w:tcPr>
                  <w:tcW w:w="57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4</w:t>
                  </w:r>
                  <w:r>
                    <w:rPr>
                      <w:rFonts w:ascii="Times New Roman" w:hAnsi="Times New Roman" w:cs="Times New Roman" w:eastAsiaTheme="minorEastAsia"/>
                      <w:color w:val="auto"/>
                      <w:sz w:val="21"/>
                      <w:szCs w:val="21"/>
                      <w:highlight w:val="none"/>
                    </w:rPr>
                    <w:t>L/桶</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3.2t</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液态</w:t>
                  </w:r>
                </w:p>
              </w:tc>
              <w:tc>
                <w:tcPr>
                  <w:tcW w:w="56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漆料间</w:t>
                  </w:r>
                </w:p>
              </w:tc>
              <w:tc>
                <w:tcPr>
                  <w:tcW w:w="1261" w:type="pct"/>
                  <w:vMerge w:val="restar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color w:val="auto"/>
                      <w:spacing w:val="-6"/>
                      <w:sz w:val="21"/>
                      <w:szCs w:val="21"/>
                      <w:highlight w:val="none"/>
                    </w:rPr>
                    <w:t>A组分：B组分=4:1（体积比），稀释剂约占工作漆料10%（质量比）</w:t>
                  </w:r>
                  <w:r>
                    <w:rPr>
                      <w:rFonts w:hint="eastAsia"/>
                      <w:color w:val="auto"/>
                      <w:spacing w:val="-6"/>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4</w:t>
                  </w:r>
                </w:p>
              </w:tc>
              <w:tc>
                <w:tcPr>
                  <w:tcW w:w="910" w:type="pct"/>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ascii="Times New Roman" w:hAnsi="Times New Roman" w:cs="Times New Roman" w:eastAsiaTheme="minorEastAsia"/>
                      <w:color w:val="auto"/>
                      <w:sz w:val="21"/>
                      <w:szCs w:val="21"/>
                      <w:highlight w:val="none"/>
                    </w:rPr>
                    <w:t>环氧有机富锌底漆B组分</w:t>
                  </w:r>
                </w:p>
              </w:tc>
              <w:tc>
                <w:tcPr>
                  <w:tcW w:w="57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ascii="Times New Roman" w:hAnsi="Times New Roman" w:cs="Times New Roman" w:eastAsiaTheme="minorEastAsia"/>
                      <w:color w:val="auto"/>
                      <w:sz w:val="21"/>
                      <w:szCs w:val="21"/>
                      <w:highlight w:val="none"/>
                    </w:rPr>
                    <w:t>4L/桶</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0.5t</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液态</w:t>
                  </w:r>
                </w:p>
              </w:tc>
              <w:tc>
                <w:tcPr>
                  <w:tcW w:w="56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漆料间</w:t>
                  </w:r>
                </w:p>
              </w:tc>
              <w:tc>
                <w:tcPr>
                  <w:tcW w:w="1261" w:type="pct"/>
                  <w:vMerge w:val="continue"/>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w:t>
                  </w:r>
                </w:p>
              </w:tc>
              <w:tc>
                <w:tcPr>
                  <w:tcW w:w="910" w:type="pct"/>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ascii="Times New Roman" w:hAnsi="Times New Roman" w:cs="Times New Roman" w:eastAsiaTheme="minorEastAsia"/>
                      <w:color w:val="auto"/>
                      <w:sz w:val="21"/>
                      <w:szCs w:val="21"/>
                      <w:highlight w:val="none"/>
                    </w:rPr>
                    <w:t>环氧云母氧化铁漆（</w:t>
                  </w:r>
                  <w:r>
                    <w:rPr>
                      <w:rFonts w:hint="eastAsia" w:cs="Times New Roman" w:eastAsiaTheme="minorEastAsia"/>
                      <w:color w:val="auto"/>
                      <w:sz w:val="21"/>
                      <w:szCs w:val="21"/>
                      <w:highlight w:val="none"/>
                      <w:lang w:eastAsia="zh-CN"/>
                    </w:rPr>
                    <w:t>面漆</w:t>
                  </w:r>
                  <w:r>
                    <w:rPr>
                      <w:rFonts w:ascii="Times New Roman" w:hAnsi="Times New Roman" w:cs="Times New Roman" w:eastAsiaTheme="minorEastAsia"/>
                      <w:color w:val="auto"/>
                      <w:sz w:val="21"/>
                      <w:szCs w:val="21"/>
                      <w:highlight w:val="none"/>
                    </w:rPr>
                    <w:t>）A组分</w:t>
                  </w:r>
                </w:p>
              </w:tc>
              <w:tc>
                <w:tcPr>
                  <w:tcW w:w="57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eastAsiaTheme="minorEastAsia"/>
                      <w:color w:val="auto"/>
                      <w:sz w:val="21"/>
                      <w:szCs w:val="21"/>
                      <w:highlight w:val="none"/>
                      <w:lang w:val="en-US" w:eastAsia="zh-CN"/>
                    </w:rPr>
                    <w:t>4</w:t>
                  </w:r>
                  <w:r>
                    <w:rPr>
                      <w:rFonts w:ascii="Times New Roman" w:hAnsi="Times New Roman" w:cs="Times New Roman" w:eastAsiaTheme="minorEastAsia"/>
                      <w:color w:val="auto"/>
                      <w:sz w:val="21"/>
                      <w:szCs w:val="21"/>
                      <w:highlight w:val="none"/>
                    </w:rPr>
                    <w:t>L/桶</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3.4t</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液态</w:t>
                  </w:r>
                </w:p>
              </w:tc>
              <w:tc>
                <w:tcPr>
                  <w:tcW w:w="56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漆料间</w:t>
                  </w:r>
                </w:p>
              </w:tc>
              <w:tc>
                <w:tcPr>
                  <w:tcW w:w="1261" w:type="pct"/>
                  <w:vMerge w:val="restar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color w:val="auto"/>
                      <w:spacing w:val="-6"/>
                      <w:sz w:val="21"/>
                      <w:szCs w:val="21"/>
                      <w:highlight w:val="none"/>
                    </w:rPr>
                    <w:t>A组分：B组分=4:1（体积比），稀释剂约占工作漆料10%（质量比）</w:t>
                  </w:r>
                  <w:r>
                    <w:rPr>
                      <w:rFonts w:hint="eastAsia"/>
                      <w:color w:val="auto"/>
                      <w:spacing w:val="-6"/>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6</w:t>
                  </w:r>
                </w:p>
              </w:tc>
              <w:tc>
                <w:tcPr>
                  <w:tcW w:w="910" w:type="pct"/>
                  <w:gridSpan w:val="2"/>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ascii="Times New Roman" w:hAnsi="Times New Roman" w:cs="Times New Roman" w:eastAsiaTheme="minorEastAsia"/>
                      <w:color w:val="auto"/>
                      <w:sz w:val="21"/>
                      <w:szCs w:val="21"/>
                      <w:highlight w:val="none"/>
                    </w:rPr>
                    <w:t>环氧云母氧化铁漆（</w:t>
                  </w:r>
                  <w:r>
                    <w:rPr>
                      <w:rFonts w:hint="eastAsia" w:cs="Times New Roman" w:eastAsiaTheme="minorEastAsia"/>
                      <w:color w:val="auto"/>
                      <w:sz w:val="21"/>
                      <w:szCs w:val="21"/>
                      <w:highlight w:val="none"/>
                      <w:lang w:eastAsia="zh-CN"/>
                    </w:rPr>
                    <w:t>面漆</w:t>
                  </w:r>
                  <w:r>
                    <w:rPr>
                      <w:rFonts w:ascii="Times New Roman" w:hAnsi="Times New Roman" w:cs="Times New Roman" w:eastAsiaTheme="minorEastAsia"/>
                      <w:color w:val="auto"/>
                      <w:sz w:val="21"/>
                      <w:szCs w:val="21"/>
                      <w:highlight w:val="none"/>
                    </w:rPr>
                    <w:t>）B组分</w:t>
                  </w:r>
                </w:p>
              </w:tc>
              <w:tc>
                <w:tcPr>
                  <w:tcW w:w="570"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ascii="Times New Roman" w:hAnsi="Times New Roman" w:cs="Times New Roman" w:eastAsiaTheme="minorEastAsia"/>
                      <w:color w:val="auto"/>
                      <w:sz w:val="21"/>
                      <w:szCs w:val="21"/>
                      <w:highlight w:val="none"/>
                    </w:rPr>
                    <w:t>4L/桶</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0.5t</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液态</w:t>
                  </w:r>
                </w:p>
              </w:tc>
              <w:tc>
                <w:tcPr>
                  <w:tcW w:w="56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漆料间</w:t>
                  </w:r>
                </w:p>
              </w:tc>
              <w:tc>
                <w:tcPr>
                  <w:tcW w:w="1261" w:type="pct"/>
                  <w:vMerge w:val="continue"/>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7</w:t>
                  </w:r>
                </w:p>
              </w:tc>
              <w:tc>
                <w:tcPr>
                  <w:tcW w:w="910" w:type="pct"/>
                  <w:gridSpan w:val="2"/>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ascii="Times New Roman" w:hAnsi="Times New Roman" w:cs="Times New Roman" w:eastAsiaTheme="minorEastAsia"/>
                      <w:color w:val="auto"/>
                      <w:sz w:val="21"/>
                      <w:szCs w:val="21"/>
                      <w:highlight w:val="none"/>
                    </w:rPr>
                    <w:t>环氧稀释剂（底、</w:t>
                  </w:r>
                  <w:r>
                    <w:rPr>
                      <w:rFonts w:hint="eastAsia" w:cs="Times New Roman" w:eastAsiaTheme="minorEastAsia"/>
                      <w:color w:val="auto"/>
                      <w:sz w:val="21"/>
                      <w:szCs w:val="21"/>
                      <w:highlight w:val="none"/>
                      <w:lang w:val="en-US" w:eastAsia="zh-CN"/>
                    </w:rPr>
                    <w:t>面</w:t>
                  </w:r>
                  <w:r>
                    <w:rPr>
                      <w:rFonts w:ascii="Times New Roman" w:hAnsi="Times New Roman" w:cs="Times New Roman" w:eastAsiaTheme="minorEastAsia"/>
                      <w:color w:val="auto"/>
                      <w:sz w:val="21"/>
                      <w:szCs w:val="21"/>
                      <w:highlight w:val="none"/>
                    </w:rPr>
                    <w:t>）</w:t>
                  </w:r>
                </w:p>
              </w:tc>
              <w:tc>
                <w:tcPr>
                  <w:tcW w:w="57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2</w:t>
                  </w:r>
                  <w:r>
                    <w:rPr>
                      <w:rFonts w:ascii="Times New Roman" w:hAnsi="Times New Roman" w:cs="Times New Roman" w:eastAsiaTheme="minorEastAsia"/>
                      <w:color w:val="auto"/>
                      <w:sz w:val="21"/>
                      <w:szCs w:val="21"/>
                      <w:highlight w:val="none"/>
                    </w:rPr>
                    <w:t>L/桶</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0.9t</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液态</w:t>
                  </w:r>
                </w:p>
              </w:tc>
              <w:tc>
                <w:tcPr>
                  <w:tcW w:w="56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漆料间</w:t>
                  </w:r>
                </w:p>
              </w:tc>
              <w:tc>
                <w:tcPr>
                  <w:tcW w:w="1261"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color w:val="auto"/>
                      <w:spacing w:val="-6"/>
                      <w:sz w:val="21"/>
                      <w:szCs w:val="21"/>
                      <w:highlight w:val="none"/>
                    </w:rPr>
                    <w:t>A组分：B组分=4:1（体积比），稀释剂约占工作漆料10%（质量比）</w:t>
                  </w:r>
                  <w:r>
                    <w:rPr>
                      <w:rFonts w:hint="eastAsia"/>
                      <w:color w:val="auto"/>
                      <w:spacing w:val="-6"/>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8</w:t>
                  </w:r>
                </w:p>
              </w:tc>
              <w:tc>
                <w:tcPr>
                  <w:tcW w:w="910" w:type="pct"/>
                  <w:gridSpan w:val="2"/>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焊丝</w:t>
                  </w:r>
                </w:p>
              </w:tc>
              <w:tc>
                <w:tcPr>
                  <w:tcW w:w="57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20kg/盒</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11</w:t>
                  </w:r>
                  <w:r>
                    <w:rPr>
                      <w:rFonts w:hint="default" w:ascii="Times New Roman" w:hAnsi="Times New Roman" w:eastAsia="宋体" w:cs="Times New Roman"/>
                      <w:color w:val="auto"/>
                      <w:kern w:val="0"/>
                      <w:sz w:val="21"/>
                      <w:szCs w:val="21"/>
                      <w:highlight w:val="none"/>
                      <w:lang w:val="en-US" w:eastAsia="zh-CN" w:bidi="ar-SA"/>
                    </w:rPr>
                    <w:t>t</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0.5t</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固态</w:t>
                  </w:r>
                </w:p>
              </w:tc>
              <w:tc>
                <w:tcPr>
                  <w:tcW w:w="56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原料暂存区</w:t>
                  </w:r>
                </w:p>
              </w:tc>
              <w:tc>
                <w:tcPr>
                  <w:tcW w:w="1261"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11t</w:t>
                  </w:r>
                  <w:r>
                    <w:rPr>
                      <w:rFonts w:hint="default" w:ascii="Times New Roman" w:hAnsi="Times New Roman" w:eastAsia="宋体" w:cs="Times New Roman"/>
                      <w:color w:val="auto"/>
                      <w:kern w:val="0"/>
                      <w:sz w:val="21"/>
                      <w:szCs w:val="21"/>
                      <w:highlight w:val="none"/>
                      <w:lang w:val="en-US" w:eastAsia="zh-CN" w:bidi="ar-SA"/>
                    </w:rPr>
                    <w:t>用于二保焊接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9</w:t>
                  </w:r>
                </w:p>
              </w:tc>
              <w:tc>
                <w:tcPr>
                  <w:tcW w:w="910" w:type="pct"/>
                  <w:gridSpan w:val="2"/>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埋弧焊丝</w:t>
                  </w:r>
                </w:p>
              </w:tc>
              <w:tc>
                <w:tcPr>
                  <w:tcW w:w="57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20kg/盒</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8</w:t>
                  </w:r>
                  <w:r>
                    <w:rPr>
                      <w:rFonts w:hint="default" w:ascii="Times New Roman" w:hAnsi="Times New Roman" w:eastAsia="宋体" w:cs="Times New Roman"/>
                      <w:color w:val="auto"/>
                      <w:kern w:val="0"/>
                      <w:sz w:val="21"/>
                      <w:szCs w:val="21"/>
                      <w:highlight w:val="none"/>
                      <w:lang w:val="en-US" w:eastAsia="zh-CN" w:bidi="ar-SA"/>
                    </w:rPr>
                    <w:t>t</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0.5t</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固态</w:t>
                  </w:r>
                </w:p>
              </w:tc>
              <w:tc>
                <w:tcPr>
                  <w:tcW w:w="56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原料暂存区</w:t>
                  </w:r>
                </w:p>
              </w:tc>
              <w:tc>
                <w:tcPr>
                  <w:tcW w:w="1261"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10t用于</w:t>
                  </w:r>
                  <w:r>
                    <w:rPr>
                      <w:rFonts w:hint="default" w:ascii="Times New Roman" w:hAnsi="Times New Roman" w:eastAsia="宋体" w:cs="Times New Roman"/>
                      <w:color w:val="auto"/>
                      <w:kern w:val="0"/>
                      <w:sz w:val="21"/>
                      <w:szCs w:val="21"/>
                      <w:highlight w:val="none"/>
                      <w:lang w:val="en-US" w:eastAsia="zh-CN" w:bidi="ar-SA"/>
                    </w:rPr>
                    <w:t>埋弧焊接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eastAsia="宋体" w:cs="Times New Roman"/>
                      <w:color w:val="auto"/>
                      <w:kern w:val="0"/>
                      <w:sz w:val="21"/>
                      <w:szCs w:val="21"/>
                      <w:highlight w:val="none"/>
                      <w:lang w:val="en-US" w:eastAsia="zh-CN" w:bidi="ar-SA"/>
                    </w:rPr>
                    <w:t>0</w:t>
                  </w:r>
                </w:p>
              </w:tc>
              <w:tc>
                <w:tcPr>
                  <w:tcW w:w="910" w:type="pct"/>
                  <w:gridSpan w:val="2"/>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焊条</w:t>
                  </w:r>
                </w:p>
              </w:tc>
              <w:tc>
                <w:tcPr>
                  <w:tcW w:w="57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20kg/盒</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8</w:t>
                  </w:r>
                  <w:r>
                    <w:rPr>
                      <w:rFonts w:hint="default" w:ascii="Times New Roman" w:hAnsi="Times New Roman" w:eastAsia="宋体" w:cs="Times New Roman"/>
                      <w:color w:val="auto"/>
                      <w:kern w:val="0"/>
                      <w:sz w:val="21"/>
                      <w:szCs w:val="21"/>
                      <w:highlight w:val="none"/>
                      <w:lang w:val="en-US" w:eastAsia="zh-CN" w:bidi="ar-SA"/>
                    </w:rPr>
                    <w:t>t</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0.5t</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固态</w:t>
                  </w:r>
                </w:p>
              </w:tc>
              <w:tc>
                <w:tcPr>
                  <w:tcW w:w="56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原料暂存区</w:t>
                  </w:r>
                </w:p>
              </w:tc>
              <w:tc>
                <w:tcPr>
                  <w:tcW w:w="1261"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用于电焊焊接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eastAsia="宋体" w:cs="Times New Roman"/>
                      <w:color w:val="auto"/>
                      <w:kern w:val="0"/>
                      <w:sz w:val="21"/>
                      <w:szCs w:val="21"/>
                      <w:highlight w:val="none"/>
                      <w:lang w:val="en-US" w:eastAsia="zh-CN" w:bidi="ar-SA"/>
                    </w:rPr>
                    <w:t>1</w:t>
                  </w:r>
                </w:p>
              </w:tc>
              <w:tc>
                <w:tcPr>
                  <w:tcW w:w="910" w:type="pct"/>
                  <w:gridSpan w:val="2"/>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助</w:t>
                  </w:r>
                  <w:r>
                    <w:rPr>
                      <w:rFonts w:hint="default" w:ascii="Times New Roman" w:hAnsi="Times New Roman" w:eastAsia="宋体" w:cs="Times New Roman"/>
                      <w:color w:val="auto"/>
                      <w:kern w:val="0"/>
                      <w:sz w:val="21"/>
                      <w:szCs w:val="21"/>
                      <w:highlight w:val="none"/>
                      <w:lang w:val="en-US" w:eastAsia="zh-CN" w:bidi="ar-SA"/>
                    </w:rPr>
                    <w:t>焊剂</w:t>
                  </w:r>
                </w:p>
              </w:tc>
              <w:tc>
                <w:tcPr>
                  <w:tcW w:w="57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25kg/袋</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6</w:t>
                  </w:r>
                  <w:r>
                    <w:rPr>
                      <w:rFonts w:hint="default" w:ascii="Times New Roman" w:hAnsi="Times New Roman" w:eastAsia="宋体" w:cs="Times New Roman"/>
                      <w:color w:val="auto"/>
                      <w:kern w:val="0"/>
                      <w:sz w:val="21"/>
                      <w:szCs w:val="21"/>
                      <w:highlight w:val="none"/>
                      <w:lang w:val="en-US" w:eastAsia="zh-CN" w:bidi="ar-SA"/>
                    </w:rPr>
                    <w:t>t</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0.5t</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固态</w:t>
                  </w:r>
                </w:p>
              </w:tc>
              <w:tc>
                <w:tcPr>
                  <w:tcW w:w="56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原料暂存区</w:t>
                  </w:r>
                </w:p>
              </w:tc>
              <w:tc>
                <w:tcPr>
                  <w:tcW w:w="1261"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用于埋弧焊焊接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12</w:t>
                  </w:r>
                </w:p>
              </w:tc>
              <w:tc>
                <w:tcPr>
                  <w:tcW w:w="910" w:type="pct"/>
                  <w:gridSpan w:val="2"/>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二氧化碳</w:t>
                  </w:r>
                </w:p>
              </w:tc>
              <w:tc>
                <w:tcPr>
                  <w:tcW w:w="57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12MPA/瓶</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w:t>
                  </w:r>
                  <w:r>
                    <w:rPr>
                      <w:rFonts w:hint="default" w:ascii="Times New Roman" w:hAnsi="Times New Roman" w:eastAsia="宋体" w:cs="Times New Roman"/>
                      <w:color w:val="auto"/>
                      <w:kern w:val="0"/>
                      <w:sz w:val="21"/>
                      <w:szCs w:val="21"/>
                      <w:highlight w:val="none"/>
                      <w:lang w:val="en-US" w:eastAsia="zh-CN" w:bidi="ar-SA"/>
                    </w:rPr>
                    <w:t>00瓶</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3瓶，随用随买</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气态</w:t>
                  </w:r>
                </w:p>
              </w:tc>
              <w:tc>
                <w:tcPr>
                  <w:tcW w:w="560" w:type="pct"/>
                  <w:vMerge w:val="restar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气瓶暂存区</w:t>
                  </w:r>
                </w:p>
              </w:tc>
              <w:tc>
                <w:tcPr>
                  <w:tcW w:w="1261"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用于</w:t>
                  </w:r>
                  <w:r>
                    <w:rPr>
                      <w:rFonts w:hint="eastAsia" w:ascii="Times New Roman" w:hAnsi="Times New Roman" w:eastAsia="宋体" w:cs="Times New Roman"/>
                      <w:color w:val="auto"/>
                      <w:kern w:val="0"/>
                      <w:sz w:val="21"/>
                      <w:szCs w:val="21"/>
                      <w:highlight w:val="none"/>
                      <w:lang w:val="en-US" w:eastAsia="zh-CN" w:bidi="ar-SA"/>
                    </w:rPr>
                    <w:t>二保</w:t>
                  </w:r>
                  <w:r>
                    <w:rPr>
                      <w:rFonts w:hint="default" w:ascii="Times New Roman" w:hAnsi="Times New Roman" w:eastAsia="宋体" w:cs="Times New Roman"/>
                      <w:color w:val="auto"/>
                      <w:kern w:val="0"/>
                      <w:sz w:val="21"/>
                      <w:szCs w:val="21"/>
                      <w:highlight w:val="none"/>
                      <w:lang w:val="en-US" w:eastAsia="zh-CN" w:bidi="ar-SA"/>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13</w:t>
                  </w:r>
                </w:p>
              </w:tc>
              <w:tc>
                <w:tcPr>
                  <w:tcW w:w="910" w:type="pct"/>
                  <w:gridSpan w:val="2"/>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丙烷</w:t>
                  </w:r>
                </w:p>
              </w:tc>
              <w:tc>
                <w:tcPr>
                  <w:tcW w:w="57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30kg/瓶</w:t>
                  </w:r>
                </w:p>
              </w:tc>
              <w:tc>
                <w:tcPr>
                  <w:tcW w:w="444"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w:t>
                  </w:r>
                  <w:r>
                    <w:rPr>
                      <w:rFonts w:hint="default" w:ascii="Times New Roman" w:hAnsi="Times New Roman" w:eastAsia="宋体" w:cs="Times New Roman"/>
                      <w:color w:val="auto"/>
                      <w:kern w:val="0"/>
                      <w:sz w:val="21"/>
                      <w:szCs w:val="21"/>
                      <w:highlight w:val="none"/>
                      <w:lang w:val="en-US" w:eastAsia="zh-CN" w:bidi="ar-SA"/>
                    </w:rPr>
                    <w:t>00瓶</w:t>
                  </w:r>
                </w:p>
              </w:tc>
              <w:tc>
                <w:tcPr>
                  <w:tcW w:w="558"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w:t>
                  </w:r>
                  <w:r>
                    <w:rPr>
                      <w:rFonts w:hint="default" w:ascii="Times New Roman" w:hAnsi="Times New Roman" w:eastAsia="宋体" w:cs="Times New Roman"/>
                      <w:color w:val="auto"/>
                      <w:kern w:val="0"/>
                      <w:sz w:val="21"/>
                      <w:szCs w:val="21"/>
                      <w:highlight w:val="none"/>
                      <w:lang w:val="en-US" w:eastAsia="zh-CN" w:bidi="ar-SA"/>
                    </w:rPr>
                    <w:t>瓶，随用随买</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气态</w:t>
                  </w:r>
                </w:p>
              </w:tc>
              <w:tc>
                <w:tcPr>
                  <w:tcW w:w="560" w:type="pct"/>
                  <w:vMerge w:val="continue"/>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261"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用于切割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14</w:t>
                  </w:r>
                </w:p>
              </w:tc>
              <w:tc>
                <w:tcPr>
                  <w:tcW w:w="910" w:type="pct"/>
                  <w:gridSpan w:val="2"/>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液氧</w:t>
                  </w:r>
                </w:p>
              </w:tc>
              <w:tc>
                <w:tcPr>
                  <w:tcW w:w="57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175kg/瓶</w:t>
                  </w:r>
                </w:p>
              </w:tc>
              <w:tc>
                <w:tcPr>
                  <w:tcW w:w="444"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w:t>
                  </w:r>
                  <w:r>
                    <w:rPr>
                      <w:rFonts w:hint="default" w:ascii="Times New Roman" w:hAnsi="Times New Roman" w:eastAsia="宋体" w:cs="Times New Roman"/>
                      <w:color w:val="auto"/>
                      <w:kern w:val="0"/>
                      <w:sz w:val="21"/>
                      <w:szCs w:val="21"/>
                      <w:highlight w:val="none"/>
                      <w:lang w:val="en-US" w:eastAsia="zh-CN" w:bidi="ar-SA"/>
                    </w:rPr>
                    <w:t>0瓶</w:t>
                  </w:r>
                </w:p>
              </w:tc>
              <w:tc>
                <w:tcPr>
                  <w:tcW w:w="558"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5</w:t>
                  </w:r>
                  <w:r>
                    <w:rPr>
                      <w:rFonts w:hint="default" w:ascii="Times New Roman" w:hAnsi="Times New Roman" w:eastAsia="宋体" w:cs="Times New Roman"/>
                      <w:color w:val="auto"/>
                      <w:kern w:val="0"/>
                      <w:sz w:val="21"/>
                      <w:szCs w:val="21"/>
                      <w:highlight w:val="none"/>
                      <w:lang w:val="en-US" w:eastAsia="zh-CN" w:bidi="ar-SA"/>
                    </w:rPr>
                    <w:t>瓶，随用随买</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气态</w:t>
                  </w:r>
                </w:p>
              </w:tc>
              <w:tc>
                <w:tcPr>
                  <w:tcW w:w="560" w:type="pct"/>
                  <w:vMerge w:val="continue"/>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p>
              </w:tc>
              <w:tc>
                <w:tcPr>
                  <w:tcW w:w="1261"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用于切割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15</w:t>
                  </w:r>
                </w:p>
              </w:tc>
              <w:tc>
                <w:tcPr>
                  <w:tcW w:w="910" w:type="pct"/>
                  <w:gridSpan w:val="2"/>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切削液</w:t>
                  </w:r>
                </w:p>
              </w:tc>
              <w:tc>
                <w:tcPr>
                  <w:tcW w:w="57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5kg/桶</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w:t>
                  </w:r>
                  <w:r>
                    <w:rPr>
                      <w:rFonts w:hint="eastAsia" w:ascii="Times New Roman" w:hAnsi="Times New Roman" w:cs="Times New Roman"/>
                      <w:color w:val="auto"/>
                      <w:kern w:val="0"/>
                      <w:sz w:val="21"/>
                      <w:szCs w:val="21"/>
                      <w:highlight w:val="none"/>
                      <w:lang w:val="en-US" w:eastAsia="zh-CN" w:bidi="ar-SA"/>
                    </w:rPr>
                    <w:t>3</w:t>
                  </w:r>
                  <w:r>
                    <w:rPr>
                      <w:rFonts w:hint="default" w:ascii="Times New Roman" w:hAnsi="Times New Roman" w:eastAsia="宋体" w:cs="Times New Roman"/>
                      <w:color w:val="auto"/>
                      <w:kern w:val="0"/>
                      <w:sz w:val="21"/>
                      <w:szCs w:val="21"/>
                      <w:highlight w:val="none"/>
                      <w:lang w:val="en-US" w:eastAsia="zh-CN" w:bidi="ar-SA"/>
                    </w:rPr>
                    <w:t>t</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0.02t</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液态</w:t>
                  </w:r>
                </w:p>
              </w:tc>
              <w:tc>
                <w:tcPr>
                  <w:tcW w:w="56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原料暂存区</w:t>
                  </w:r>
                </w:p>
              </w:tc>
              <w:tc>
                <w:tcPr>
                  <w:tcW w:w="1261"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用于机加工，切削液与水配比为1:20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eastAsia="宋体" w:cs="Times New Roman"/>
                      <w:color w:val="auto"/>
                      <w:kern w:val="0"/>
                      <w:sz w:val="21"/>
                      <w:szCs w:val="21"/>
                      <w:highlight w:val="none"/>
                      <w:lang w:val="en-US" w:eastAsia="zh-CN" w:bidi="ar-SA"/>
                    </w:rPr>
                    <w:t>6</w:t>
                  </w:r>
                </w:p>
              </w:tc>
              <w:tc>
                <w:tcPr>
                  <w:tcW w:w="910" w:type="pct"/>
                  <w:gridSpan w:val="2"/>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钢砂</w:t>
                  </w:r>
                </w:p>
              </w:tc>
              <w:tc>
                <w:tcPr>
                  <w:tcW w:w="57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25kg/袋</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2t</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2t</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固态</w:t>
                  </w:r>
                </w:p>
              </w:tc>
              <w:tc>
                <w:tcPr>
                  <w:tcW w:w="56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抛丸机内循环使用</w:t>
                  </w:r>
                </w:p>
              </w:tc>
              <w:tc>
                <w:tcPr>
                  <w:tcW w:w="1261" w:type="pct"/>
                  <w:vAlign w:val="center"/>
                </w:tcPr>
                <w:p>
                  <w:pPr>
                    <w:pStyle w:val="2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主要成分为高碳钢或合金钢的废钢料，</w:t>
                  </w:r>
                  <w:r>
                    <w:rPr>
                      <w:rFonts w:hint="default" w:ascii="Times New Roman" w:hAnsi="Times New Roman" w:eastAsia="宋体" w:cs="Times New Roman"/>
                      <w:color w:val="auto"/>
                      <w:kern w:val="0"/>
                      <w:sz w:val="21"/>
                      <w:szCs w:val="21"/>
                      <w:highlight w:val="none"/>
                      <w:lang w:val="en-US" w:eastAsia="zh-CN" w:bidi="ar-SA"/>
                    </w:rPr>
                    <w:t>用于抛丸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w:t>
                  </w:r>
                  <w:r>
                    <w:rPr>
                      <w:rFonts w:hint="eastAsia" w:ascii="Times New Roman" w:hAnsi="Times New Roman" w:cs="Times New Roman"/>
                      <w:color w:val="auto"/>
                      <w:kern w:val="0"/>
                      <w:sz w:val="21"/>
                      <w:szCs w:val="21"/>
                      <w:highlight w:val="none"/>
                      <w:lang w:val="en-US" w:eastAsia="zh-CN" w:bidi="ar-SA"/>
                    </w:rPr>
                    <w:t>7</w:t>
                  </w:r>
                </w:p>
              </w:tc>
              <w:tc>
                <w:tcPr>
                  <w:tcW w:w="910" w:type="pct"/>
                  <w:gridSpan w:val="2"/>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机油</w:t>
                  </w:r>
                </w:p>
              </w:tc>
              <w:tc>
                <w:tcPr>
                  <w:tcW w:w="57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200kg/桶</w:t>
                  </w:r>
                </w:p>
              </w:tc>
              <w:tc>
                <w:tcPr>
                  <w:tcW w:w="444"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0.1t</w:t>
                  </w:r>
                </w:p>
              </w:tc>
              <w:tc>
                <w:tcPr>
                  <w:tcW w:w="558"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0.2t</w:t>
                  </w:r>
                </w:p>
              </w:tc>
              <w:tc>
                <w:tcPr>
                  <w:tcW w:w="420"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液态</w:t>
                  </w:r>
                </w:p>
              </w:tc>
              <w:tc>
                <w:tcPr>
                  <w:tcW w:w="560" w:type="pct"/>
                  <w:vAlign w:val="center"/>
                </w:tcPr>
                <w:p>
                  <w:pPr>
                    <w:pStyle w:val="42"/>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原料暂存区</w:t>
                  </w:r>
                </w:p>
              </w:tc>
              <w:tc>
                <w:tcPr>
                  <w:tcW w:w="1261" w:type="pct"/>
                  <w:vAlign w:val="center"/>
                </w:tcPr>
                <w:p>
                  <w:pPr>
                    <w:pStyle w:val="2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用于设备维护保养</w:t>
                  </w:r>
                </w:p>
              </w:tc>
            </w:tr>
          </w:tbl>
          <w:p>
            <w:pPr>
              <w:pStyle w:val="92"/>
              <w:ind w:firstLine="480"/>
              <w:rPr>
                <w:rFonts w:ascii="Times New Roman" w:hAnsi="Times New Roman" w:cs="Times New Roman"/>
                <w:color w:val="auto"/>
                <w:highlight w:val="none"/>
              </w:rPr>
            </w:pPr>
            <w:r>
              <w:rPr>
                <w:rFonts w:hint="eastAsia" w:cs="Times New Roman"/>
                <w:b/>
                <w:bCs/>
                <w:color w:val="auto"/>
                <w:highlight w:val="none"/>
                <w:lang w:val="en-US" w:eastAsia="zh-CN"/>
              </w:rPr>
              <w:t>注：本项目油性漆和水性漆不同时使用。</w:t>
            </w:r>
          </w:p>
          <w:p>
            <w:pPr>
              <w:pStyle w:val="92"/>
              <w:ind w:firstLine="480"/>
              <w:rPr>
                <w:rFonts w:ascii="Times New Roman" w:hAnsi="Times New Roman" w:cs="Times New Roman"/>
                <w:color w:val="auto"/>
                <w:highlight w:val="none"/>
              </w:rPr>
            </w:pPr>
            <w:r>
              <w:rPr>
                <w:rFonts w:ascii="Times New Roman" w:hAnsi="Times New Roman" w:cs="Times New Roman"/>
                <w:color w:val="auto"/>
                <w:highlight w:val="none"/>
              </w:rPr>
              <w:t>主要原辅材料组分及理化性质见表</w:t>
            </w:r>
            <w:r>
              <w:rPr>
                <w:rFonts w:hint="eastAsia" w:ascii="Times New Roman" w:hAnsi="Times New Roman" w:cs="Times New Roman"/>
                <w:color w:val="auto"/>
                <w:highlight w:val="none"/>
                <w:lang w:val="en-US" w:eastAsia="zh-CN"/>
              </w:rPr>
              <w:t>2-6</w:t>
            </w:r>
            <w:r>
              <w:rPr>
                <w:rFonts w:ascii="Times New Roman" w:hAnsi="Times New Roman" w:cs="Times New Roman"/>
                <w:color w:val="auto"/>
                <w:highlight w:val="none"/>
              </w:rPr>
              <w:t>。</w:t>
            </w:r>
          </w:p>
          <w:p>
            <w:pPr>
              <w:pStyle w:val="111"/>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bidi="ar-SA"/>
              </w:rPr>
              <w:t>表</w:t>
            </w:r>
            <w:r>
              <w:rPr>
                <w:rFonts w:hint="eastAsia" w:ascii="Times New Roman" w:hAnsi="Times New Roman" w:eastAsia="宋体" w:cs="Times New Roman"/>
                <w:b/>
                <w:bCs/>
                <w:color w:val="auto"/>
                <w:sz w:val="21"/>
                <w:szCs w:val="21"/>
                <w:highlight w:val="none"/>
                <w:lang w:val="en-US" w:eastAsia="zh-CN" w:bidi="ar-SA"/>
              </w:rPr>
              <w:t>2-6</w:t>
            </w:r>
            <w:r>
              <w:rPr>
                <w:rFonts w:hint="default" w:ascii="Times New Roman" w:hAnsi="Times New Roman" w:eastAsia="宋体" w:cs="Times New Roman"/>
                <w:b/>
                <w:bCs/>
                <w:color w:val="auto"/>
                <w:sz w:val="21"/>
                <w:szCs w:val="21"/>
                <w:highlight w:val="none"/>
                <w:lang w:val="en-US" w:eastAsia="zh-CN" w:bidi="ar-SA"/>
              </w:rPr>
              <w:t xml:space="preserve"> 主要原辅材料组分及理化性质</w:t>
            </w:r>
          </w:p>
          <w:tbl>
            <w:tblPr>
              <w:tblStyle w:val="30"/>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1315"/>
              <w:gridCol w:w="2730"/>
              <w:gridCol w:w="1176"/>
              <w:gridCol w:w="721"/>
              <w:gridCol w:w="24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jc w:val="center"/>
              </w:trPr>
              <w:tc>
                <w:tcPr>
                  <w:tcW w:w="781" w:type="pct"/>
                  <w:tcBorders>
                    <w:tl2br w:val="nil"/>
                    <w:tr2bl w:val="nil"/>
                  </w:tcBorders>
                  <w:shd w:val="clear" w:color="auto" w:fill="auto"/>
                  <w:vAlign w:val="center"/>
                </w:tcPr>
                <w:p>
                  <w:pPr>
                    <w:pStyle w:val="82"/>
                    <w:keepNext w:val="0"/>
                    <w:keepLines w:val="0"/>
                    <w:pageBreakBefore w:val="0"/>
                    <w:kinsoku/>
                    <w:wordWrap/>
                    <w:overflowPunct/>
                    <w:topLinePunct w:val="0"/>
                    <w:autoSpaceDE/>
                    <w:autoSpaceDN/>
                    <w:bidi w:val="0"/>
                    <w:adjustRightInd/>
                    <w:snapToGrid/>
                    <w:spacing w:before="0" w:beforeAutospacing="0" w:afterAutospacing="0" w:line="240" w:lineRule="auto"/>
                    <w:ind w:left="0" w:right="0" w:right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物料名称</w:t>
                  </w:r>
                </w:p>
              </w:tc>
              <w:tc>
                <w:tcPr>
                  <w:tcW w:w="4218" w:type="pct"/>
                  <w:gridSpan w:val="4"/>
                  <w:tcBorders>
                    <w:tl2br w:val="nil"/>
                    <w:tr2bl w:val="nil"/>
                  </w:tcBorders>
                  <w:shd w:val="clear" w:color="auto" w:fill="auto"/>
                  <w:vAlign w:val="center"/>
                </w:tcPr>
                <w:p>
                  <w:pPr>
                    <w:pStyle w:val="82"/>
                    <w:keepNext w:val="0"/>
                    <w:keepLines w:val="0"/>
                    <w:pageBreakBefore w:val="0"/>
                    <w:kinsoku/>
                    <w:wordWrap/>
                    <w:overflowPunct/>
                    <w:topLinePunct w:val="0"/>
                    <w:autoSpaceDE/>
                    <w:autoSpaceDN/>
                    <w:bidi w:val="0"/>
                    <w:adjustRightInd/>
                    <w:snapToGrid/>
                    <w:spacing w:before="0" w:beforeAutospacing="0" w:afterAutospacing="0" w:line="240" w:lineRule="auto"/>
                    <w:ind w:left="0" w:right="0" w:rightChars="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理化性质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81" w:type="pct"/>
                  <w:tcBorders>
                    <w:tl2br w:val="nil"/>
                    <w:tr2bl w:val="nil"/>
                  </w:tcBorders>
                  <w:shd w:val="clear" w:color="auto" w:fill="auto"/>
                  <w:vAlign w:val="center"/>
                </w:tcPr>
                <w:p>
                  <w:pPr>
                    <w:pStyle w:val="82"/>
                    <w:keepNext w:val="0"/>
                    <w:keepLines w:val="0"/>
                    <w:pageBreakBefore w:val="0"/>
                    <w:kinsoku/>
                    <w:wordWrap/>
                    <w:overflowPunct/>
                    <w:topLinePunct w:val="0"/>
                    <w:autoSpaceDE/>
                    <w:autoSpaceDN/>
                    <w:bidi w:val="0"/>
                    <w:adjustRightInd/>
                    <w:snapToGrid/>
                    <w:spacing w:before="0" w:beforeAutospacing="0" w:afterAutospacing="0" w:line="240" w:lineRule="auto"/>
                    <w:ind w:left="0" w:right="0" w:right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丙烷气</w:t>
                  </w:r>
                </w:p>
              </w:tc>
              <w:tc>
                <w:tcPr>
                  <w:tcW w:w="4218" w:type="pct"/>
                  <w:gridSpan w:val="4"/>
                  <w:tcBorders>
                    <w:tl2br w:val="nil"/>
                    <w:tr2bl w:val="nil"/>
                  </w:tcBorders>
                  <w:shd w:val="clear" w:color="auto" w:fill="auto"/>
                  <w:vAlign w:val="center"/>
                </w:tcPr>
                <w:p>
                  <w:pPr>
                    <w:pStyle w:val="82"/>
                    <w:keepNext w:val="0"/>
                    <w:keepLines w:val="0"/>
                    <w:pageBreakBefore w:val="0"/>
                    <w:kinsoku/>
                    <w:wordWrap/>
                    <w:overflowPunct/>
                    <w:topLinePunct w:val="0"/>
                    <w:autoSpaceDE/>
                    <w:autoSpaceDN/>
                    <w:bidi w:val="0"/>
                    <w:adjustRightInd/>
                    <w:snapToGrid/>
                    <w:spacing w:before="0" w:beforeAutospacing="0" w:afterAutospacing="0" w:line="240" w:lineRule="auto"/>
                    <w:ind w:left="0" w:right="0" w:rightChars="0"/>
                    <w:jc w:val="both"/>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丙烷，三碳烷烃，化学式为 C</w:t>
                  </w:r>
                  <w:r>
                    <w:rPr>
                      <w:rFonts w:hint="default" w:ascii="Times New Roman" w:hAnsi="Times New Roman" w:cs="Times New Roman"/>
                      <w:color w:val="auto"/>
                      <w:kern w:val="2"/>
                      <w:sz w:val="21"/>
                      <w:szCs w:val="21"/>
                      <w:highlight w:val="none"/>
                      <w:vertAlign w:val="subscript"/>
                    </w:rPr>
                    <w:t>3</w:t>
                  </w:r>
                  <w:r>
                    <w:rPr>
                      <w:rFonts w:hint="default" w:ascii="Times New Roman" w:hAnsi="Times New Roman" w:cs="Times New Roman"/>
                      <w:color w:val="auto"/>
                      <w:kern w:val="2"/>
                      <w:sz w:val="21"/>
                      <w:szCs w:val="21"/>
                      <w:highlight w:val="none"/>
                    </w:rPr>
                    <w:t>H</w:t>
                  </w:r>
                  <w:r>
                    <w:rPr>
                      <w:rFonts w:hint="default" w:ascii="Times New Roman" w:hAnsi="Times New Roman" w:cs="Times New Roman"/>
                      <w:color w:val="auto"/>
                      <w:kern w:val="2"/>
                      <w:sz w:val="21"/>
                      <w:szCs w:val="21"/>
                      <w:highlight w:val="none"/>
                      <w:vertAlign w:val="subscript"/>
                    </w:rPr>
                    <w:t>8</w:t>
                  </w:r>
                  <w:r>
                    <w:rPr>
                      <w:rFonts w:hint="default" w:ascii="Times New Roman" w:hAnsi="Times New Roman" w:cs="Times New Roman"/>
                      <w:color w:val="auto"/>
                      <w:kern w:val="2"/>
                      <w:sz w:val="21"/>
                      <w:szCs w:val="21"/>
                      <w:highlight w:val="none"/>
                    </w:rPr>
                    <w:t>，结构简式为 CH</w:t>
                  </w:r>
                  <w:r>
                    <w:rPr>
                      <w:rFonts w:hint="default" w:ascii="Times New Roman" w:hAnsi="Times New Roman" w:cs="Times New Roman"/>
                      <w:color w:val="auto"/>
                      <w:kern w:val="2"/>
                      <w:sz w:val="21"/>
                      <w:szCs w:val="21"/>
                      <w:highlight w:val="none"/>
                      <w:vertAlign w:val="subscript"/>
                    </w:rPr>
                    <w:t>3</w:t>
                  </w:r>
                  <w:r>
                    <w:rPr>
                      <w:rFonts w:hint="default" w:ascii="Times New Roman" w:hAnsi="Times New Roman" w:cs="Times New Roman"/>
                      <w:color w:val="auto"/>
                      <w:kern w:val="2"/>
                      <w:sz w:val="21"/>
                      <w:szCs w:val="21"/>
                      <w:highlight w:val="none"/>
                    </w:rPr>
                    <w:t>CH</w:t>
                  </w:r>
                  <w:r>
                    <w:rPr>
                      <w:rFonts w:hint="default" w:ascii="Times New Roman" w:hAnsi="Times New Roman" w:cs="Times New Roman"/>
                      <w:color w:val="auto"/>
                      <w:kern w:val="2"/>
                      <w:sz w:val="21"/>
                      <w:szCs w:val="21"/>
                      <w:highlight w:val="none"/>
                      <w:vertAlign w:val="subscript"/>
                    </w:rPr>
                    <w:t>2</w:t>
                  </w:r>
                  <w:r>
                    <w:rPr>
                      <w:rFonts w:hint="default" w:ascii="Times New Roman" w:hAnsi="Times New Roman" w:cs="Times New Roman"/>
                      <w:color w:val="auto"/>
                      <w:kern w:val="2"/>
                      <w:sz w:val="21"/>
                      <w:szCs w:val="21"/>
                      <w:highlight w:val="none"/>
                    </w:rPr>
                    <w:t>CH</w:t>
                  </w:r>
                  <w:r>
                    <w:rPr>
                      <w:rFonts w:hint="default" w:ascii="Times New Roman" w:hAnsi="Times New Roman" w:cs="Times New Roman"/>
                      <w:color w:val="auto"/>
                      <w:kern w:val="2"/>
                      <w:sz w:val="21"/>
                      <w:szCs w:val="21"/>
                      <w:highlight w:val="none"/>
                      <w:vertAlign w:val="subscript"/>
                    </w:rPr>
                    <w:t>3</w:t>
                  </w:r>
                  <w:r>
                    <w:rPr>
                      <w:rFonts w:hint="default" w:ascii="Times New Roman" w:hAnsi="Times New Roman" w:cs="Times New Roman"/>
                      <w:color w:val="auto"/>
                      <w:kern w:val="2"/>
                      <w:sz w:val="21"/>
                      <w:szCs w:val="21"/>
                      <w:highlight w:val="none"/>
                    </w:rPr>
                    <w:t>，无色气体， 纯品无臭，熔点为 -187.6（85.5 K），沸点-42.09（231.1 K），易燃，燃点为 450℃，临界温度 96.8℃，微溶于水，可溶于乙醇、乙醚；丙烷在标准状态下是无毒的，烷可以在充足氧气下燃烧，生成水和二氧化碳，当氧气不充足时，生成水和一氧化碳。天然气不同的是，丙烷比空气重（大约是空气的 1.5 倍左右）。在自然的状态下，丙烷会下落并积聚在地表附近。在常压下，液态的丙烷会很快的变为蒸汽并且由于空气中水的凝结而显白色。</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jc w:val="center"/>
              </w:trPr>
              <w:tc>
                <w:tcPr>
                  <w:tcW w:w="78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切削液</w:t>
                  </w:r>
                </w:p>
              </w:tc>
              <w:tc>
                <w:tcPr>
                  <w:tcW w:w="4218" w:type="pct"/>
                  <w:gridSpan w:val="4"/>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墨绿色液体，气味温和，主要成分基础油、表面活性剂、防锈剂、合成添加剂。闪点：160℃，主要用于金属切削、磨加工过程中，用来冷却和润滑刀具和加工件的工业用液体。不属于危害水环境物质（急性毒性类别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8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机油</w:t>
                  </w:r>
                </w:p>
              </w:tc>
              <w:tc>
                <w:tcPr>
                  <w:tcW w:w="4218" w:type="pct"/>
                  <w:gridSpan w:val="4"/>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油状液体，淡黄色至褐色，无气味或略带异味；闪点：76℃，引燃温度248℃；</w:t>
                  </w:r>
                  <w:r>
                    <w:rPr>
                      <w:rFonts w:hint="default" w:ascii="Times New Roman" w:hAnsi="Times New Roman" w:cs="Times New Roman"/>
                      <w:color w:val="auto"/>
                      <w:kern w:val="24"/>
                      <w:sz w:val="21"/>
                      <w:szCs w:val="21"/>
                      <w:highlight w:val="none"/>
                    </w:rPr>
                    <w:t>不属于危害水环境物质（急性毒性类别1）。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jc w:val="center"/>
              </w:trPr>
              <w:tc>
                <w:tcPr>
                  <w:tcW w:w="781" w:type="pct"/>
                  <w:tcBorders>
                    <w:tl2br w:val="nil"/>
                    <w:tr2bl w:val="nil"/>
                  </w:tcBorders>
                  <w:shd w:val="clear" w:color="auto" w:fill="auto"/>
                  <w:vAlign w:val="center"/>
                </w:tcPr>
                <w:p>
                  <w:pPr>
                    <w:pStyle w:val="82"/>
                    <w:keepNext w:val="0"/>
                    <w:keepLines w:val="0"/>
                    <w:pageBreakBefore w:val="0"/>
                    <w:kinsoku/>
                    <w:wordWrap/>
                    <w:overflowPunct/>
                    <w:topLinePunct w:val="0"/>
                    <w:autoSpaceDE/>
                    <w:autoSpaceDN/>
                    <w:bidi w:val="0"/>
                    <w:adjustRightInd/>
                    <w:snapToGrid/>
                    <w:spacing w:before="0" w:beforeAutospacing="0" w:afterAutospacing="0" w:line="240" w:lineRule="auto"/>
                    <w:ind w:left="0" w:right="0" w:right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液氧</w:t>
                  </w:r>
                </w:p>
              </w:tc>
              <w:tc>
                <w:tcPr>
                  <w:tcW w:w="4218" w:type="pct"/>
                  <w:gridSpan w:val="4"/>
                  <w:tcBorders>
                    <w:tl2br w:val="nil"/>
                    <w:tr2bl w:val="nil"/>
                  </w:tcBorders>
                  <w:shd w:val="clear" w:color="auto" w:fill="auto"/>
                  <w:vAlign w:val="center"/>
                </w:tcPr>
                <w:p>
                  <w:pPr>
                    <w:pStyle w:val="82"/>
                    <w:keepNext w:val="0"/>
                    <w:keepLines w:val="0"/>
                    <w:pageBreakBefore w:val="0"/>
                    <w:kinsoku/>
                    <w:wordWrap/>
                    <w:overflowPunct/>
                    <w:topLinePunct w:val="0"/>
                    <w:autoSpaceDE/>
                    <w:autoSpaceDN/>
                    <w:bidi w:val="0"/>
                    <w:adjustRightInd/>
                    <w:snapToGrid/>
                    <w:spacing w:before="0" w:beforeAutospacing="0" w:afterAutospacing="0" w:line="240" w:lineRule="auto"/>
                    <w:ind w:left="0" w:right="0" w:rightChars="0"/>
                    <w:jc w:val="both"/>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液态氧是氧气的状态为液态时的液体。呈浅蓝色，沸点为-183℃，冷却 到-218.8℃成为雪花状的淡蓝色固体，液氧的密度（在沸点时）为1.14g/cm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rPr>
                    <w:t>。通常气压（101.325 kPa）下密度 1141kg/m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rPr>
                    <w:t>，凝固点-222.65℃，沸点-182.96 ℃。液氧也是非常强的氧化剂：有机物在液氧中剧烈燃烧 一些物质若被长时间浸入液氧可能会发生爆炸。液氧是不可燃的，但它能强烈地助燃，火灾危险性为乙类。它和燃料接触通常也不能自燃，如果两种液体碰在一起，液氧将引起液体燃料的冷却并凝固。凝固的燃料和液氧的混合物对撞击是敏感的，在加压情况下常常转为爆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jc w:val="center"/>
              </w:trPr>
              <w:tc>
                <w:tcPr>
                  <w:tcW w:w="781" w:type="pct"/>
                  <w:tcBorders>
                    <w:tl2br w:val="nil"/>
                    <w:tr2bl w:val="nil"/>
                  </w:tcBorders>
                  <w:shd w:val="clear" w:color="auto" w:fill="auto"/>
                  <w:vAlign w:val="center"/>
                </w:tcPr>
                <w:p>
                  <w:pPr>
                    <w:pStyle w:val="82"/>
                    <w:keepNext w:val="0"/>
                    <w:keepLines w:val="0"/>
                    <w:pageBreakBefore w:val="0"/>
                    <w:kinsoku/>
                    <w:wordWrap/>
                    <w:overflowPunct/>
                    <w:topLinePunct w:val="0"/>
                    <w:autoSpaceDE/>
                    <w:autoSpaceDN/>
                    <w:bidi w:val="0"/>
                    <w:adjustRightInd/>
                    <w:snapToGrid/>
                    <w:spacing w:before="0" w:beforeAutospacing="0" w:afterAutospacing="0" w:line="240" w:lineRule="auto"/>
                    <w:ind w:left="0" w:right="0" w:right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液态二氧化碳</w:t>
                  </w:r>
                </w:p>
              </w:tc>
              <w:tc>
                <w:tcPr>
                  <w:tcW w:w="4218" w:type="pct"/>
                  <w:gridSpan w:val="4"/>
                  <w:tcBorders>
                    <w:tl2br w:val="nil"/>
                    <w:tr2bl w:val="nil"/>
                  </w:tcBorders>
                  <w:shd w:val="clear" w:color="auto" w:fill="auto"/>
                  <w:vAlign w:val="center"/>
                </w:tcPr>
                <w:p>
                  <w:pPr>
                    <w:pStyle w:val="82"/>
                    <w:keepNext w:val="0"/>
                    <w:keepLines w:val="0"/>
                    <w:pageBreakBefore w:val="0"/>
                    <w:kinsoku/>
                    <w:wordWrap/>
                    <w:overflowPunct/>
                    <w:topLinePunct w:val="0"/>
                    <w:autoSpaceDE/>
                    <w:autoSpaceDN/>
                    <w:bidi w:val="0"/>
                    <w:adjustRightInd/>
                    <w:snapToGrid/>
                    <w:spacing w:before="0" w:beforeAutospacing="0" w:afterAutospacing="0" w:line="240" w:lineRule="auto"/>
                    <w:ind w:left="0" w:right="0" w:rightChars="0"/>
                    <w:jc w:val="both"/>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液态二氧化碳指的是高压低温下将二氧化碳气体液化为液体形态。液体二氧化碳，密度 1.101g/cm</w:t>
                  </w:r>
                  <w:r>
                    <w:rPr>
                      <w:rFonts w:hint="default" w:ascii="Times New Roman" w:hAnsi="Times New Roman" w:cs="Times New Roman"/>
                      <w:color w:val="auto"/>
                      <w:kern w:val="2"/>
                      <w:sz w:val="21"/>
                      <w:szCs w:val="21"/>
                      <w:highlight w:val="none"/>
                      <w:vertAlign w:val="superscript"/>
                    </w:rPr>
                    <w:t>3</w:t>
                  </w:r>
                  <w:r>
                    <w:rPr>
                      <w:rFonts w:hint="default" w:ascii="Times New Roman" w:hAnsi="Times New Roman" w:cs="Times New Roman"/>
                      <w:color w:val="auto"/>
                      <w:kern w:val="2"/>
                      <w:sz w:val="21"/>
                      <w:szCs w:val="21"/>
                      <w:highlight w:val="none"/>
                    </w:rPr>
                    <w:t>，液态二氧化碳蒸发时会吸收大量的热；当它放出大量的热时，则会凝成固体二氧化碳，俗称干冰。液态的二氧化碳是一种制冷剂，可以用来保藏食品，也可用于人工降雨。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81" w:type="pct"/>
                  <w:tcBorders>
                    <w:tl2br w:val="nil"/>
                    <w:tr2bl w:val="nil"/>
                  </w:tcBorders>
                  <w:shd w:val="clear" w:color="auto" w:fill="auto"/>
                  <w:vAlign w:val="center"/>
                </w:tcPr>
                <w:p>
                  <w:pPr>
                    <w:pStyle w:val="92"/>
                    <w:keepNext w:val="0"/>
                    <w:keepLines w:val="0"/>
                    <w:pageBreakBefore w:val="0"/>
                    <w:tabs>
                      <w:tab w:val="left" w:pos="418"/>
                    </w:tabs>
                    <w:kinsoku/>
                    <w:wordWrap/>
                    <w:overflowPunct/>
                    <w:topLinePunct w:val="0"/>
                    <w:autoSpaceDE/>
                    <w:autoSpaceDN/>
                    <w:bidi w:val="0"/>
                    <w:adjustRightInd/>
                    <w:snapToGrid/>
                    <w:spacing w:beforeAutospacing="0" w:afterAutospacing="0" w:line="240" w:lineRule="auto"/>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焊丝</w:t>
                  </w:r>
                </w:p>
              </w:tc>
              <w:tc>
                <w:tcPr>
                  <w:tcW w:w="4218" w:type="pct"/>
                  <w:gridSpan w:val="4"/>
                  <w:tcBorders>
                    <w:tl2br w:val="nil"/>
                    <w:tr2bl w:val="nil"/>
                  </w:tcBorders>
                  <w:shd w:val="clear" w:color="auto" w:fill="auto"/>
                  <w:vAlign w:val="center"/>
                </w:tcPr>
                <w:p>
                  <w:pP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kern w:val="2"/>
                      <w:sz w:val="21"/>
                      <w:szCs w:val="21"/>
                      <w:highlight w:val="none"/>
                      <w:lang w:val="en-US" w:eastAsia="en-US" w:bidi="ar-SA"/>
                    </w:rPr>
                    <w:t>焊丝是作为填充金属或同时作为导电用的金属丝焊接材料。在气焊和钨极气体保护电弧焊时，焊丝用作填充金属；在埋弧焊、电渣焊和其他熔化极气体保护电弧焊时，焊丝</w:t>
                  </w:r>
                  <w:r>
                    <w:rPr>
                      <w:rFonts w:hint="eastAsia" w:ascii="Times New Roman" w:hAnsi="Times New Roman" w:eastAsia="宋体" w:cs="Times New Roman"/>
                      <w:color w:val="auto"/>
                      <w:kern w:val="2"/>
                      <w:sz w:val="21"/>
                      <w:szCs w:val="21"/>
                      <w:highlight w:val="none"/>
                      <w:lang w:val="en-US" w:eastAsia="zh-CN" w:bidi="ar-SA"/>
                    </w:rPr>
                    <w:t>即</w:t>
                  </w:r>
                  <w:r>
                    <w:rPr>
                      <w:rFonts w:hint="default" w:ascii="Times New Roman" w:hAnsi="Times New Roman" w:eastAsia="宋体" w:cs="Times New Roman"/>
                      <w:color w:val="auto"/>
                      <w:kern w:val="2"/>
                      <w:sz w:val="21"/>
                      <w:szCs w:val="21"/>
                      <w:highlight w:val="none"/>
                      <w:lang w:val="en-US" w:eastAsia="en-US" w:bidi="ar-SA"/>
                    </w:rPr>
                    <w:t>是填充金属。本项目焊丝主要成分为氧化钛15%，硅酸矿物8%，碳酸钙2%，碳钢铁芯72%，镁化物3%。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jc w:val="center"/>
              </w:trPr>
              <w:tc>
                <w:tcPr>
                  <w:tcW w:w="781" w:type="pct"/>
                  <w:tcBorders>
                    <w:tl2br w:val="nil"/>
                    <w:tr2bl w:val="nil"/>
                  </w:tcBorders>
                  <w:shd w:val="clear" w:color="auto" w:fill="auto"/>
                  <w:vAlign w:val="center"/>
                </w:tcPr>
                <w:p>
                  <w:pPr>
                    <w:pStyle w:val="92"/>
                    <w:keepNext w:val="0"/>
                    <w:keepLines w:val="0"/>
                    <w:pageBreakBefore w:val="0"/>
                    <w:tabs>
                      <w:tab w:val="left" w:pos="418"/>
                    </w:tabs>
                    <w:kinsoku/>
                    <w:wordWrap/>
                    <w:overflowPunct/>
                    <w:topLinePunct w:val="0"/>
                    <w:autoSpaceDE/>
                    <w:autoSpaceDN/>
                    <w:bidi w:val="0"/>
                    <w:adjustRightInd/>
                    <w:snapToGrid/>
                    <w:spacing w:beforeAutospacing="0" w:afterAutospacing="0" w:line="240" w:lineRule="auto"/>
                    <w:ind w:left="0" w:right="0" w:rightChars="0"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焊条</w:t>
                  </w:r>
                </w:p>
              </w:tc>
              <w:tc>
                <w:tcPr>
                  <w:tcW w:w="4218" w:type="pct"/>
                  <w:gridSpan w:val="4"/>
                  <w:tcBorders>
                    <w:tl2br w:val="nil"/>
                    <w:tr2bl w:val="nil"/>
                  </w:tcBorders>
                  <w:shd w:val="clear" w:color="auto" w:fill="auto"/>
                  <w:vAlign w:val="center"/>
                </w:tcPr>
                <w:p>
                  <w:pPr>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kern w:val="2"/>
                      <w:sz w:val="21"/>
                      <w:szCs w:val="21"/>
                      <w:highlight w:val="none"/>
                      <w:lang w:val="en-US" w:eastAsia="en-US" w:bidi="ar-SA"/>
                    </w:rPr>
                    <w:t>本项目使用焊丝和焊条为低碳钢丝钢条，主要成分为Fe，不含Mn、Ni、Cu等重金属元素。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81" w:type="pct"/>
                  <w:tcBorders>
                    <w:tl2br w:val="nil"/>
                    <w:tr2bl w:val="nil"/>
                  </w:tcBorders>
                  <w:shd w:val="clear" w:color="auto" w:fill="auto"/>
                  <w:vAlign w:val="center"/>
                </w:tcPr>
                <w:p>
                  <w:pPr>
                    <w:pStyle w:val="82"/>
                    <w:keepNext w:val="0"/>
                    <w:keepLines w:val="0"/>
                    <w:pageBreakBefore w:val="0"/>
                    <w:kinsoku/>
                    <w:wordWrap/>
                    <w:overflowPunct/>
                    <w:topLinePunct w:val="0"/>
                    <w:autoSpaceDE/>
                    <w:autoSpaceDN/>
                    <w:bidi w:val="0"/>
                    <w:adjustRightInd/>
                    <w:snapToGrid/>
                    <w:spacing w:before="0" w:beforeAutospacing="0" w:afterAutospacing="0" w:line="240" w:lineRule="auto"/>
                    <w:ind w:left="0" w:right="0" w:rightChars="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助焊剂</w:t>
                  </w:r>
                </w:p>
              </w:tc>
              <w:tc>
                <w:tcPr>
                  <w:tcW w:w="4218" w:type="pct"/>
                  <w:gridSpan w:val="4"/>
                  <w:tcBorders>
                    <w:tl2br w:val="nil"/>
                    <w:tr2bl w:val="nil"/>
                  </w:tcBorders>
                  <w:shd w:val="clear" w:color="auto" w:fill="auto"/>
                  <w:vAlign w:val="center"/>
                </w:tcPr>
                <w:p>
                  <w:pPr>
                    <w:pStyle w:val="92"/>
                    <w:keepNext w:val="0"/>
                    <w:keepLines w:val="0"/>
                    <w:pageBreakBefore w:val="0"/>
                    <w:tabs>
                      <w:tab w:val="left" w:pos="418"/>
                    </w:tabs>
                    <w:kinsoku/>
                    <w:wordWrap/>
                    <w:overflowPunct/>
                    <w:topLinePunct w:val="0"/>
                    <w:autoSpaceDE/>
                    <w:autoSpaceDN/>
                    <w:bidi w:val="0"/>
                    <w:adjustRightInd/>
                    <w:snapToGrid/>
                    <w:spacing w:beforeAutospacing="0" w:afterAutospacing="0" w:line="240" w:lineRule="auto"/>
                    <w:ind w:left="0" w:right="0" w:rightChars="0"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固体颗粒状，可直接使用，成分为 SiO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、TiO</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、MnO、 Al</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O</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、CaO、FeO、CaF</w:t>
                  </w:r>
                  <w:r>
                    <w:rPr>
                      <w:rFonts w:hint="default" w:ascii="Times New Roman" w:hAnsi="Times New Roman" w:cs="Times New Roman"/>
                      <w:color w:val="auto"/>
                      <w:sz w:val="21"/>
                      <w:szCs w:val="21"/>
                      <w:highlight w:val="none"/>
                      <w:vertAlign w:val="subscript"/>
                    </w:rPr>
                    <w:t>2</w:t>
                  </w:r>
                  <w:r>
                    <w:rPr>
                      <w:rFonts w:hint="default" w:ascii="Times New Roman" w:hAnsi="Times New Roman"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90" w:hRule="atLeast"/>
                <w:jc w:val="center"/>
              </w:trPr>
              <w:tc>
                <w:tcPr>
                  <w:tcW w:w="78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pacing w:val="-15"/>
                      <w:sz w:val="21"/>
                      <w:szCs w:val="21"/>
                      <w:highlight w:val="none"/>
                    </w:rPr>
                  </w:pPr>
                  <w:r>
                    <w:rPr>
                      <w:rFonts w:hint="default" w:ascii="Times New Roman" w:hAnsi="Times New Roman" w:cs="Times New Roman"/>
                      <w:color w:val="auto"/>
                      <w:sz w:val="21"/>
                      <w:szCs w:val="21"/>
                      <w:highlight w:val="none"/>
                    </w:rPr>
                    <w:t>组分</w:t>
                  </w:r>
                </w:p>
              </w:tc>
              <w:tc>
                <w:tcPr>
                  <w:tcW w:w="69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pacing w:val="-15"/>
                      <w:sz w:val="21"/>
                      <w:szCs w:val="21"/>
                      <w:highlight w:val="none"/>
                    </w:rPr>
                  </w:pPr>
                  <w:r>
                    <w:rPr>
                      <w:rFonts w:hint="default" w:ascii="Times New Roman" w:hAnsi="Times New Roman" w:cs="Times New Roman"/>
                      <w:color w:val="auto"/>
                      <w:sz w:val="21"/>
                      <w:szCs w:val="21"/>
                      <w:highlight w:val="none"/>
                    </w:rPr>
                    <w:t>所占比例</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pacing w:val="-15"/>
                      <w:sz w:val="21"/>
                      <w:szCs w:val="21"/>
                      <w:highlight w:val="none"/>
                    </w:rPr>
                  </w:pPr>
                  <w:r>
                    <w:rPr>
                      <w:rFonts w:hint="default" w:ascii="Times New Roman" w:hAnsi="Times New Roman" w:cs="Times New Roman"/>
                      <w:color w:val="auto"/>
                      <w:sz w:val="21"/>
                      <w:szCs w:val="21"/>
                      <w:highlight w:val="none"/>
                    </w:rPr>
                    <w:t>可否挥发</w:t>
                  </w:r>
                </w:p>
              </w:tc>
              <w:tc>
                <w:tcPr>
                  <w:tcW w:w="1470"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pacing w:val="-15"/>
                      <w:sz w:val="21"/>
                      <w:szCs w:val="21"/>
                      <w:highlight w:val="none"/>
                    </w:rPr>
                  </w:pPr>
                  <w:r>
                    <w:rPr>
                      <w:rFonts w:hint="default" w:ascii="Times New Roman" w:hAnsi="Times New Roman" w:cs="Times New Roman"/>
                      <w:color w:val="auto"/>
                      <w:sz w:val="21"/>
                      <w:szCs w:val="21"/>
                      <w:highlight w:val="none"/>
                    </w:rPr>
                    <w:t>理化性质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5" w:hRule="atLeast"/>
                <w:jc w:val="center"/>
              </w:trPr>
              <w:tc>
                <w:tcPr>
                  <w:tcW w:w="781" w:type="pct"/>
                  <w:vMerge w:val="restar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环氧有机富锌底漆A组分</w:t>
                  </w: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锌</w:t>
                  </w:r>
                </w:p>
              </w:tc>
              <w:tc>
                <w:tcPr>
                  <w:tcW w:w="69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≥75-≤90</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c>
                <w:tcPr>
                  <w:tcW w:w="1470" w:type="pct"/>
                  <w:vMerge w:val="restart"/>
                  <w:tcBorders>
                    <w:tl2br w:val="nil"/>
                    <w:tr2bl w:val="nil"/>
                  </w:tcBorders>
                  <w:shd w:val="clear" w:color="auto" w:fill="auto"/>
                  <w:vAlign w:val="center"/>
                </w:tcPr>
                <w:p>
                  <w:pPr>
                    <w:pStyle w:val="82"/>
                    <w:keepNext w:val="0"/>
                    <w:keepLines w:val="0"/>
                    <w:pageBreakBefore w:val="0"/>
                    <w:kinsoku/>
                    <w:wordWrap/>
                    <w:overflowPunct/>
                    <w:topLinePunct w:val="0"/>
                    <w:autoSpaceDE/>
                    <w:autoSpaceDN/>
                    <w:bidi w:val="0"/>
                    <w:adjustRightInd/>
                    <w:snapToGrid/>
                    <w:spacing w:before="0"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液体，沸点：136至153℃，闪点：闭杯，26.67℃。爆炸（燃烧）上限：7.9%，下限1%，密度1.3943g/cm</w:t>
                  </w:r>
                  <w:r>
                    <w:rPr>
                      <w:rFonts w:hint="default" w:ascii="Times New Roman" w:hAnsi="Times New Roman" w:cs="Times New Roman"/>
                      <w:color w:val="auto"/>
                      <w:spacing w:val="-6"/>
                      <w:sz w:val="21"/>
                      <w:szCs w:val="21"/>
                      <w:highlight w:val="none"/>
                      <w:vertAlign w:val="superscript"/>
                    </w:rPr>
                    <w:t>3</w:t>
                  </w:r>
                  <w:r>
                    <w:rPr>
                      <w:rFonts w:hint="default" w:ascii="Times New Roman" w:hAnsi="Times New Roman" w:cs="Times New Roman"/>
                      <w:color w:val="auto"/>
                      <w:spacing w:val="-6"/>
                      <w:sz w:val="21"/>
                      <w:szCs w:val="21"/>
                      <w:highlight w:val="none"/>
                    </w:rPr>
                    <w:t>。根据漆料供应商提供漆料中各物质是否具备挥发性，本项目按照最不利因素即具备挥发性的物质全部挥发考虑，并且所占比例取最大值，故挥发份比例为</w:t>
                  </w:r>
                  <w:r>
                    <w:rPr>
                      <w:rFonts w:hint="default" w:ascii="Times New Roman" w:hAnsi="Times New Roman" w:cs="Times New Roman"/>
                      <w:color w:val="auto"/>
                      <w:spacing w:val="-6"/>
                      <w:sz w:val="21"/>
                      <w:szCs w:val="21"/>
                      <w:highlight w:val="none"/>
                    </w:rPr>
                    <w:t>22%，固体</w:t>
                  </w:r>
                  <w:r>
                    <w:rPr>
                      <w:rFonts w:hint="eastAsia" w:ascii="Times New Roman" w:hAnsi="Times New Roman" w:cs="Times New Roman"/>
                      <w:color w:val="auto"/>
                      <w:spacing w:val="-6"/>
                      <w:sz w:val="21"/>
                      <w:szCs w:val="21"/>
                      <w:highlight w:val="none"/>
                      <w:lang w:eastAsia="zh-CN"/>
                    </w:rPr>
                    <w:t>份</w:t>
                  </w:r>
                  <w:r>
                    <w:rPr>
                      <w:rFonts w:hint="default" w:ascii="Times New Roman" w:hAnsi="Times New Roman" w:cs="Times New Roman"/>
                      <w:color w:val="auto"/>
                      <w:spacing w:val="-6"/>
                      <w:sz w:val="21"/>
                      <w:szCs w:val="21"/>
                      <w:highlight w:val="none"/>
                    </w:rPr>
                    <w:t>比例为78%。</w:t>
                  </w:r>
                  <w:r>
                    <w:rPr>
                      <w:rFonts w:hint="default" w:ascii="Times New Roman" w:hAnsi="Times New Roman" w:cs="Times New Roman"/>
                      <w:color w:val="auto"/>
                      <w:spacing w:val="-6"/>
                      <w:sz w:val="21"/>
                      <w:szCs w:val="21"/>
                      <w:highlight w:val="none"/>
                    </w:rPr>
                    <w:t>二甲苯所占比例为10%，乙苯所占比例为2.4%。A组分：B组分=4:1（体积比），稀释剂约占工作漆料10%（质量比）。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5"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二甲苯 异构体混合物</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PrEx>
              <w:trPr>
                <w:trHeight w:val="355"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环氧氯丙烷与双酚A、4-(1,1-二甲乙基</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苯酚的聚合物</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5"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C9-不饱和烃的聚合物</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5"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二氧化硅</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55"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乙苯</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4"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2-庚酮</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jc w:val="center"/>
              </w:trPr>
              <w:tc>
                <w:tcPr>
                  <w:tcW w:w="781" w:type="pct"/>
                  <w:vMerge w:val="restar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环氧有机富锌底漆B组分</w:t>
                  </w: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二甲苯 异构体混合物</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≥25-≤50</w:t>
                  </w:r>
                </w:p>
              </w:tc>
              <w:tc>
                <w:tcPr>
                  <w:tcW w:w="42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restart"/>
                  <w:tcBorders>
                    <w:tl2br w:val="nil"/>
                    <w:tr2bl w:val="nil"/>
                  </w:tcBorders>
                  <w:shd w:val="clear" w:color="auto" w:fill="auto"/>
                  <w:vAlign w:val="center"/>
                </w:tcPr>
                <w:p>
                  <w:pPr>
                    <w:pStyle w:val="82"/>
                    <w:keepNext w:val="0"/>
                    <w:keepLines w:val="0"/>
                    <w:pageBreakBefore w:val="0"/>
                    <w:kinsoku/>
                    <w:wordWrap/>
                    <w:overflowPunct/>
                    <w:topLinePunct w:val="0"/>
                    <w:autoSpaceDE/>
                    <w:autoSpaceDN/>
                    <w:bidi w:val="0"/>
                    <w:adjustRightInd/>
                    <w:snapToGrid/>
                    <w:spacing w:before="0"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液体，沸点：81至144℃，闪点：闭杯，17.78℃。爆炸（燃烧）上限：12.7%，下限1%。密度0.897g/cm</w:t>
                  </w:r>
                  <w:r>
                    <w:rPr>
                      <w:rFonts w:hint="default" w:ascii="Times New Roman" w:hAnsi="Times New Roman" w:cs="Times New Roman"/>
                      <w:color w:val="auto"/>
                      <w:spacing w:val="-6"/>
                      <w:sz w:val="21"/>
                      <w:szCs w:val="21"/>
                      <w:highlight w:val="none"/>
                      <w:vertAlign w:val="superscript"/>
                    </w:rPr>
                    <w:t>3</w:t>
                  </w:r>
                  <w:r>
                    <w:rPr>
                      <w:rFonts w:hint="default" w:ascii="Times New Roman" w:hAnsi="Times New Roman" w:cs="Times New Roman"/>
                      <w:color w:val="auto"/>
                      <w:spacing w:val="-6"/>
                      <w:sz w:val="21"/>
                      <w:szCs w:val="21"/>
                      <w:highlight w:val="none"/>
                    </w:rPr>
                    <w:t>。根据漆料供应商提供漆料中各物质是否具备挥发性，</w:t>
                  </w:r>
                  <w:r>
                    <w:rPr>
                      <w:rFonts w:hint="default" w:ascii="Times New Roman" w:hAnsi="Times New Roman" w:cs="Times New Roman"/>
                      <w:color w:val="auto"/>
                      <w:spacing w:val="-6"/>
                      <w:sz w:val="21"/>
                      <w:szCs w:val="21"/>
                      <w:highlight w:val="none"/>
                    </w:rPr>
                    <w:t>本项目按照最不利因素即具备挥发性的物质全部挥发考虑，并且所占比例取最大值，故挥发份比例为73%</w:t>
                  </w:r>
                  <w:r>
                    <w:rPr>
                      <w:rFonts w:hint="default" w:ascii="Times New Roman" w:hAnsi="Times New Roman" w:cs="Times New Roman"/>
                      <w:color w:val="auto"/>
                      <w:spacing w:val="-6"/>
                      <w:sz w:val="21"/>
                      <w:szCs w:val="21"/>
                      <w:highlight w:val="none"/>
                    </w:rPr>
                    <w:t>，固体</w:t>
                  </w:r>
                  <w:r>
                    <w:rPr>
                      <w:rFonts w:hint="eastAsia" w:ascii="Times New Roman" w:hAnsi="Times New Roman" w:cs="Times New Roman"/>
                      <w:color w:val="auto"/>
                      <w:spacing w:val="-6"/>
                      <w:sz w:val="21"/>
                      <w:szCs w:val="21"/>
                      <w:highlight w:val="none"/>
                      <w:lang w:eastAsia="zh-CN"/>
                    </w:rPr>
                    <w:t>份</w:t>
                  </w:r>
                  <w:r>
                    <w:rPr>
                      <w:rFonts w:hint="default" w:ascii="Times New Roman" w:hAnsi="Times New Roman" w:cs="Times New Roman"/>
                      <w:color w:val="auto"/>
                      <w:spacing w:val="-6"/>
                      <w:sz w:val="21"/>
                      <w:szCs w:val="21"/>
                      <w:highlight w:val="none"/>
                    </w:rPr>
                    <w:t>比例为27%。二甲苯所占比例为50%，乙苯所占比例为10%。A组分：B组分=4:1（体积比），稀释剂约占工作漆料10%（质量比）。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C18-不饱和二聚脂肪酸与聚乙烯胺的反应产物</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≥25-≤50</w:t>
                  </w:r>
                </w:p>
              </w:tc>
              <w:tc>
                <w:tcPr>
                  <w:tcW w:w="42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2-丙醇</w:t>
                  </w:r>
                </w:p>
              </w:tc>
              <w:tc>
                <w:tcPr>
                  <w:tcW w:w="69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≥10-＜20</w:t>
                  </w:r>
                </w:p>
              </w:tc>
              <w:tc>
                <w:tcPr>
                  <w:tcW w:w="42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76"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乙苯</w:t>
                  </w:r>
                </w:p>
              </w:tc>
              <w:tc>
                <w:tcPr>
                  <w:tcW w:w="69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42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6"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三亚乙基四胺</w:t>
                  </w:r>
                </w:p>
              </w:tc>
              <w:tc>
                <w:tcPr>
                  <w:tcW w:w="69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42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781" w:type="pct"/>
                  <w:vMerge w:val="restar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环氧云母氧化铁漆A组分</w:t>
                  </w: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二氧化硅</w:t>
                  </w:r>
                </w:p>
              </w:tc>
              <w:tc>
                <w:tcPr>
                  <w:tcW w:w="69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≥25 - ≤50</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c>
                <w:tcPr>
                  <w:tcW w:w="1470" w:type="pct"/>
                  <w:vMerge w:val="restart"/>
                  <w:tcBorders>
                    <w:tl2br w:val="nil"/>
                    <w:tr2bl w:val="nil"/>
                  </w:tcBorders>
                  <w:shd w:val="clear" w:color="auto" w:fill="auto"/>
                  <w:vAlign w:val="center"/>
                </w:tcPr>
                <w:p>
                  <w:pPr>
                    <w:pStyle w:val="82"/>
                    <w:keepNext w:val="0"/>
                    <w:keepLines w:val="0"/>
                    <w:pageBreakBefore w:val="0"/>
                    <w:kinsoku/>
                    <w:wordWrap/>
                    <w:overflowPunct/>
                    <w:topLinePunct w:val="0"/>
                    <w:autoSpaceDE/>
                    <w:autoSpaceDN/>
                    <w:bidi w:val="0"/>
                    <w:adjustRightInd/>
                    <w:snapToGrid/>
                    <w:spacing w:before="0"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液体，沸点：120至207℃，闪点：闭杯，27.22℃。爆炸（燃烧）上限：13.74%，下限1%。密度1.67g/cm</w:t>
                  </w:r>
                  <w:r>
                    <w:rPr>
                      <w:rFonts w:hint="default" w:ascii="Times New Roman" w:hAnsi="Times New Roman" w:cs="Times New Roman"/>
                      <w:color w:val="auto"/>
                      <w:spacing w:val="-6"/>
                      <w:sz w:val="21"/>
                      <w:szCs w:val="21"/>
                      <w:highlight w:val="none"/>
                      <w:vertAlign w:val="superscript"/>
                    </w:rPr>
                    <w:t>3</w:t>
                  </w:r>
                  <w:r>
                    <w:rPr>
                      <w:rFonts w:hint="default" w:ascii="Times New Roman" w:hAnsi="Times New Roman" w:cs="Times New Roman"/>
                      <w:color w:val="auto"/>
                      <w:spacing w:val="-6"/>
                      <w:sz w:val="21"/>
                      <w:szCs w:val="21"/>
                      <w:highlight w:val="none"/>
                    </w:rPr>
                    <w:t>。根据漆料供应商提供漆料中各物质是否具备挥发性，本项目按照最不利因素即具备挥发性的物质全部挥发考虑，并且所占比例取最大值，故挥发份比例为21%，固体</w:t>
                  </w:r>
                  <w:r>
                    <w:rPr>
                      <w:rFonts w:hint="eastAsia" w:ascii="Times New Roman" w:hAnsi="Times New Roman" w:cs="Times New Roman"/>
                      <w:color w:val="auto"/>
                      <w:spacing w:val="-6"/>
                      <w:sz w:val="21"/>
                      <w:szCs w:val="21"/>
                      <w:highlight w:val="none"/>
                      <w:lang w:eastAsia="zh-CN"/>
                    </w:rPr>
                    <w:t>份</w:t>
                  </w:r>
                  <w:r>
                    <w:rPr>
                      <w:rFonts w:hint="default" w:ascii="Times New Roman" w:hAnsi="Times New Roman" w:cs="Times New Roman"/>
                      <w:color w:val="auto"/>
                      <w:spacing w:val="-6"/>
                      <w:sz w:val="21"/>
                      <w:szCs w:val="21"/>
                      <w:highlight w:val="none"/>
                    </w:rPr>
                    <w:t>比例为79%。二甲苯所占比例为10%，乙苯所占比例为1.9%。A组分：B组分=4:1（体积比），稀释剂约占工作漆料10%（质量比）。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4,4'-(1-甲基亚乙基</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双苯酚与</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氯甲基</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环氧乙烷的聚合物</w:t>
                  </w:r>
                </w:p>
              </w:tc>
              <w:tc>
                <w:tcPr>
                  <w:tcW w:w="69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≥10 - ≤18</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二甲苯 异构体混合物</w:t>
                  </w:r>
                </w:p>
              </w:tc>
              <w:tc>
                <w:tcPr>
                  <w:tcW w:w="69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环氧树脂</w:t>
                  </w:r>
                </w:p>
              </w:tc>
              <w:tc>
                <w:tcPr>
                  <w:tcW w:w="69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≤6.1</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C.I. 77891（钛白粉）</w:t>
                  </w:r>
                </w:p>
              </w:tc>
              <w:tc>
                <w:tcPr>
                  <w:tcW w:w="69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苄醇</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1-甲氧基-2-丙醇</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乙苯</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甲基苯乙烯化苯酚</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1"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Epoxy Polymer（环氧聚合物）</w:t>
                  </w:r>
                </w:p>
              </w:tc>
              <w:tc>
                <w:tcPr>
                  <w:tcW w:w="69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否</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81" w:type="pct"/>
                  <w:vMerge w:val="restart"/>
                  <w:tcBorders>
                    <w:tl2br w:val="nil"/>
                    <w:tr2bl w:val="nil"/>
                  </w:tcBorders>
                  <w:shd w:val="clear" w:color="auto" w:fill="auto"/>
                  <w:vAlign w:val="center"/>
                </w:tcPr>
                <w:p>
                  <w:pPr>
                    <w:pStyle w:val="82"/>
                    <w:keepNext w:val="0"/>
                    <w:keepLines w:val="0"/>
                    <w:pageBreakBefore w:val="0"/>
                    <w:kinsoku/>
                    <w:wordWrap/>
                    <w:overflowPunct/>
                    <w:topLinePunct w:val="0"/>
                    <w:autoSpaceDE/>
                    <w:autoSpaceDN/>
                    <w:bidi w:val="0"/>
                    <w:adjustRightInd/>
                    <w:snapToGrid/>
                    <w:spacing w:before="0"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环氧云母氧化铁漆B组分</w:t>
                  </w: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二甲苯 异构体混合物</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≥10 - ≤15</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restart"/>
                  <w:tcBorders>
                    <w:tl2br w:val="nil"/>
                    <w:tr2bl w:val="nil"/>
                  </w:tcBorders>
                  <w:shd w:val="clear" w:color="auto" w:fill="auto"/>
                  <w:vAlign w:val="center"/>
                </w:tcPr>
                <w:p>
                  <w:pPr>
                    <w:pStyle w:val="82"/>
                    <w:keepNext w:val="0"/>
                    <w:keepLines w:val="0"/>
                    <w:pageBreakBefore w:val="0"/>
                    <w:kinsoku/>
                    <w:wordWrap/>
                    <w:overflowPunct/>
                    <w:topLinePunct w:val="0"/>
                    <w:autoSpaceDE/>
                    <w:autoSpaceDN/>
                    <w:bidi w:val="0"/>
                    <w:adjustRightInd/>
                    <w:snapToGrid/>
                    <w:spacing w:before="0"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液体，沸点：81至144℃，闪点：闭杯，18.33℃。爆炸（燃烧）上限：12.7%，下限1%。密度0.97g/cm</w:t>
                  </w:r>
                  <w:r>
                    <w:rPr>
                      <w:rFonts w:hint="default" w:ascii="Times New Roman" w:hAnsi="Times New Roman" w:cs="Times New Roman"/>
                      <w:color w:val="auto"/>
                      <w:spacing w:val="-6"/>
                      <w:sz w:val="21"/>
                      <w:szCs w:val="21"/>
                      <w:highlight w:val="none"/>
                      <w:vertAlign w:val="superscript"/>
                    </w:rPr>
                    <w:t>3</w:t>
                  </w:r>
                  <w:r>
                    <w:rPr>
                      <w:rFonts w:hint="default" w:ascii="Times New Roman" w:hAnsi="Times New Roman" w:cs="Times New Roman"/>
                      <w:color w:val="auto"/>
                      <w:spacing w:val="-6"/>
                      <w:sz w:val="21"/>
                      <w:szCs w:val="21"/>
                      <w:highlight w:val="none"/>
                    </w:rPr>
                    <w:t>。根据漆料供应商提供漆料中各物质是否具备挥发性，本项目按照最不利因素即具备挥发性的物质全部挥发考虑，并且所占比例取最大值，故挥发份比例为37.2%，固体</w:t>
                  </w:r>
                  <w:r>
                    <w:rPr>
                      <w:rFonts w:hint="eastAsia" w:ascii="Times New Roman" w:hAnsi="Times New Roman" w:cs="Times New Roman"/>
                      <w:color w:val="auto"/>
                      <w:spacing w:val="-6"/>
                      <w:sz w:val="21"/>
                      <w:szCs w:val="21"/>
                      <w:highlight w:val="none"/>
                      <w:lang w:eastAsia="zh-CN"/>
                    </w:rPr>
                    <w:t>份</w:t>
                  </w:r>
                  <w:r>
                    <w:rPr>
                      <w:rFonts w:hint="default" w:ascii="Times New Roman" w:hAnsi="Times New Roman" w:cs="Times New Roman"/>
                      <w:color w:val="auto"/>
                      <w:spacing w:val="-6"/>
                      <w:sz w:val="21"/>
                      <w:szCs w:val="21"/>
                      <w:highlight w:val="none"/>
                    </w:rPr>
                    <w:t>比例为62.8%</w:t>
                  </w:r>
                  <w:r>
                    <w:rPr>
                      <w:rFonts w:hint="default" w:ascii="Times New Roman" w:hAnsi="Times New Roman" w:cs="Times New Roman"/>
                      <w:color w:val="auto"/>
                      <w:spacing w:val="-6"/>
                      <w:sz w:val="21"/>
                      <w:szCs w:val="21"/>
                      <w:highlight w:val="none"/>
                    </w:rPr>
                    <w:t>。二甲苯所占比例为15%，乙苯所占比例为2.7%</w:t>
                  </w:r>
                  <w:r>
                    <w:rPr>
                      <w:rFonts w:hint="default" w:ascii="Times New Roman" w:hAnsi="Times New Roman" w:cs="Times New Roman"/>
                      <w:color w:val="auto"/>
                      <w:spacing w:val="-6"/>
                      <w:sz w:val="21"/>
                      <w:szCs w:val="21"/>
                      <w:highlight w:val="none"/>
                    </w:rPr>
                    <w:t>。A组分：B组分=4:1（体积比），稀释剂约占工作漆料10%（质量比）。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正丁醇</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≤8.7</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2-丙醇</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≤7.2</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2,4,6-tris(dimethylaminomethyl)phenol（2,4,6-三（二甲氨基甲基）苯酚）</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乙苯</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62" w:hRule="atLeast"/>
                <w:jc w:val="center"/>
              </w:trPr>
              <w:tc>
                <w:tcPr>
                  <w:tcW w:w="781" w:type="pct"/>
                  <w:vMerge w:val="restar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稀释剂</w:t>
                  </w: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4-甲基-2-戊酮</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≥25 - ≤50</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restart"/>
                  <w:tcBorders>
                    <w:tl2br w:val="nil"/>
                    <w:tr2bl w:val="nil"/>
                  </w:tcBorders>
                  <w:shd w:val="clear" w:color="auto" w:fill="auto"/>
                  <w:vAlign w:val="center"/>
                </w:tcPr>
                <w:p>
                  <w:pPr>
                    <w:pStyle w:val="82"/>
                    <w:keepNext w:val="0"/>
                    <w:keepLines w:val="0"/>
                    <w:pageBreakBefore w:val="0"/>
                    <w:kinsoku/>
                    <w:wordWrap/>
                    <w:overflowPunct/>
                    <w:topLinePunct w:val="0"/>
                    <w:autoSpaceDE/>
                    <w:autoSpaceDN/>
                    <w:bidi w:val="0"/>
                    <w:adjustRightInd/>
                    <w:snapToGrid/>
                    <w:spacing w:before="0"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液体，闪点：闭杯，17.78℃。密度0.8274g/cm</w:t>
                  </w:r>
                  <w:r>
                    <w:rPr>
                      <w:rFonts w:hint="default" w:ascii="Times New Roman" w:hAnsi="Times New Roman" w:cs="Times New Roman"/>
                      <w:color w:val="auto"/>
                      <w:spacing w:val="-6"/>
                      <w:sz w:val="21"/>
                      <w:szCs w:val="21"/>
                      <w:highlight w:val="none"/>
                      <w:vertAlign w:val="superscript"/>
                    </w:rPr>
                    <w:t>3</w:t>
                  </w:r>
                  <w:r>
                    <w:rPr>
                      <w:rFonts w:hint="default" w:ascii="Times New Roman" w:hAnsi="Times New Roman" w:cs="Times New Roman"/>
                      <w:color w:val="auto"/>
                      <w:spacing w:val="-6"/>
                      <w:sz w:val="21"/>
                      <w:szCs w:val="21"/>
                      <w:highlight w:val="none"/>
                    </w:rPr>
                    <w:t>。稀释剂约占工作漆料10%（质量比）。</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7" w:hRule="atLeast"/>
                <w:jc w:val="center"/>
              </w:trPr>
              <w:tc>
                <w:tcPr>
                  <w:tcW w:w="781"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二甲苯 异构体混合物</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≥25 - ≤50</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pacing w:val="-11"/>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167" w:hRule="atLeast"/>
                <w:jc w:val="center"/>
              </w:trPr>
              <w:tc>
                <w:tcPr>
                  <w:tcW w:w="781"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pacing w:val="-11"/>
                      <w:sz w:val="21"/>
                      <w:szCs w:val="21"/>
                      <w:highlight w:val="none"/>
                    </w:rPr>
                  </w:pPr>
                </w:p>
              </w:tc>
              <w:tc>
                <w:tcPr>
                  <w:tcW w:w="1621"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乙苯</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428" w:type="pct"/>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pacing w:val="-11"/>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781" w:type="pct"/>
                  <w:vMerge w:val="restar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水性环氧富锌漆</w:t>
                  </w:r>
                </w:p>
              </w:tc>
              <w:tc>
                <w:tcPr>
                  <w:tcW w:w="162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水性环氧乳液</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40%-50%</w:t>
                  </w:r>
                </w:p>
              </w:tc>
              <w:tc>
                <w:tcPr>
                  <w:tcW w:w="42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restart"/>
                  <w:tcBorders>
                    <w:tl2br w:val="nil"/>
                    <w:tr2bl w:val="nil"/>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灰色液体；沸点：≤100℃：水溶性：水溶；pH：8.0±0.5：</w:t>
                  </w:r>
                </w:p>
                <w:p>
                  <w:pPr>
                    <w:keepNext w:val="0"/>
                    <w:keepLines w:val="0"/>
                    <w:pageBreakBefore w:val="0"/>
                    <w:suppressLineNumbers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eastAsia="宋体" w:cs="Times New Roman"/>
                      <w:color w:val="auto"/>
                      <w:spacing w:val="-11"/>
                      <w:sz w:val="21"/>
                      <w:szCs w:val="21"/>
                      <w:highlight w:val="none"/>
                      <w:vertAlign w:val="baseline"/>
                      <w:lang w:val="en-US" w:eastAsia="zh-CN"/>
                    </w:rPr>
                  </w:pPr>
                  <w:r>
                    <w:rPr>
                      <w:rFonts w:hint="default" w:ascii="Times New Roman" w:hAnsi="Times New Roman" w:cs="Times New Roman"/>
                      <w:color w:val="auto"/>
                      <w:sz w:val="21"/>
                      <w:szCs w:val="21"/>
                      <w:highlight w:val="none"/>
                    </w:rPr>
                    <w:t>挥发性有机物含量为60g/L密度：1.3g/cm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vertAlign w:val="baseline"/>
                      <w:lang w:eastAsia="zh-CN"/>
                    </w:rPr>
                    <w:t>，</w:t>
                  </w:r>
                  <w:r>
                    <w:rPr>
                      <w:rFonts w:hint="default" w:ascii="Times New Roman" w:hAnsi="Times New Roman" w:cs="Times New Roman"/>
                      <w:color w:val="auto"/>
                      <w:sz w:val="21"/>
                      <w:szCs w:val="21"/>
                      <w:highlight w:val="none"/>
                      <w:vertAlign w:val="baseline"/>
                      <w:lang w:val="en-US" w:eastAsia="zh-CN"/>
                    </w:rPr>
                    <w:t>不易燃，无危险性。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eastAsia="宋体" w:cs="Times New Roman"/>
                      <w:color w:val="auto"/>
                      <w:sz w:val="21"/>
                      <w:szCs w:val="21"/>
                      <w:highlight w:val="none"/>
                      <w:lang w:val="en-US" w:eastAsia="zh-CN" w:bidi="ar-SA"/>
                    </w:rPr>
                  </w:pPr>
                </w:p>
              </w:tc>
              <w:tc>
                <w:tcPr>
                  <w:tcW w:w="162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颜料</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%-10%</w:t>
                  </w:r>
                </w:p>
              </w:tc>
              <w:tc>
                <w:tcPr>
                  <w:tcW w:w="42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80"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eastAsia="宋体" w:cs="Times New Roman"/>
                      <w:color w:val="auto"/>
                      <w:sz w:val="21"/>
                      <w:szCs w:val="21"/>
                      <w:highlight w:val="none"/>
                      <w:lang w:val="en-US" w:eastAsia="zh-CN" w:bidi="ar-SA"/>
                    </w:rPr>
                  </w:pPr>
                </w:p>
              </w:tc>
              <w:tc>
                <w:tcPr>
                  <w:tcW w:w="162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填料</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25-30%</w:t>
                  </w:r>
                </w:p>
              </w:tc>
              <w:tc>
                <w:tcPr>
                  <w:tcW w:w="42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80"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eastAsia="宋体" w:cs="Times New Roman"/>
                      <w:color w:val="auto"/>
                      <w:sz w:val="21"/>
                      <w:szCs w:val="21"/>
                      <w:highlight w:val="none"/>
                      <w:lang w:val="en-US" w:eastAsia="zh-CN" w:bidi="ar-SA"/>
                    </w:rPr>
                  </w:pPr>
                </w:p>
              </w:tc>
              <w:tc>
                <w:tcPr>
                  <w:tcW w:w="162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去离子水</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5%-10%</w:t>
                  </w:r>
                </w:p>
              </w:tc>
              <w:tc>
                <w:tcPr>
                  <w:tcW w:w="42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781"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c>
                <w:tcPr>
                  <w:tcW w:w="162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助剂</w:t>
                  </w:r>
                </w:p>
              </w:tc>
              <w:tc>
                <w:tcPr>
                  <w:tcW w:w="69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w:t>
                  </w:r>
                </w:p>
              </w:tc>
              <w:tc>
                <w:tcPr>
                  <w:tcW w:w="42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1470" w:type="pct"/>
                  <w:vMerge w:val="continue"/>
                  <w:tcBorders>
                    <w:tl2br w:val="nil"/>
                    <w:tr2bl w:val="nil"/>
                  </w:tcBorders>
                  <w:shd w:val="clear" w:color="auto" w:fill="auto"/>
                  <w:vAlign w:val="center"/>
                </w:tcPr>
                <w:p>
                  <w:pPr>
                    <w:pStyle w:val="96"/>
                    <w:keepNext w:val="0"/>
                    <w:keepLines w:val="0"/>
                    <w:pageBreakBefore w:val="0"/>
                    <w:kinsoku/>
                    <w:wordWrap/>
                    <w:overflowPunct/>
                    <w:topLinePunct w:val="0"/>
                    <w:autoSpaceDE/>
                    <w:autoSpaceDN/>
                    <w:bidi w:val="0"/>
                    <w:adjustRightInd/>
                    <w:snapToGrid/>
                    <w:spacing w:beforeAutospacing="0" w:afterAutospacing="0" w:line="240" w:lineRule="auto"/>
                    <w:ind w:left="0" w:right="0" w:rightChars="0"/>
                    <w:textAlignment w:val="auto"/>
                    <w:rPr>
                      <w:rFonts w:hint="default" w:ascii="Times New Roman" w:hAnsi="Times New Roman" w:cs="Times New Roman"/>
                      <w:color w:val="auto"/>
                      <w:sz w:val="21"/>
                      <w:szCs w:val="21"/>
                      <w:highlight w:val="none"/>
                    </w:rPr>
                  </w:pPr>
                </w:p>
              </w:tc>
            </w:tr>
          </w:tbl>
          <w:p>
            <w:pPr>
              <w:spacing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三、公用工程</w:t>
            </w:r>
          </w:p>
          <w:p>
            <w:pPr>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1、给排水工程</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（1）给水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本项目给水由市政供水管网提供。</w:t>
            </w:r>
            <w:r>
              <w:rPr>
                <w:rFonts w:hint="eastAsia" w:cs="Times New Roman"/>
                <w:color w:val="auto"/>
                <w:highlight w:val="none"/>
                <w:lang w:val="en-US" w:eastAsia="zh-CN"/>
              </w:rPr>
              <w:t>本项目用水主要包含生产用水和生活用水。生产用水主要包括水性漆调配用水、水性漆喷枪清洗用水、切削液调配用水和水帘用水。</w:t>
            </w:r>
            <w:r>
              <w:rPr>
                <w:rFonts w:hint="default" w:ascii="Times New Roman" w:hAnsi="Times New Roman" w:cs="Times New Roman"/>
                <w:bCs/>
                <w:color w:val="auto"/>
                <w:sz w:val="24"/>
                <w:szCs w:val="24"/>
                <w:highlight w:val="none"/>
                <w:lang w:bidi="ar"/>
              </w:rPr>
              <w:t>水性漆喷枪采用少量水浸润清洗，洗枪废液与</w:t>
            </w:r>
            <w:r>
              <w:rPr>
                <w:rFonts w:hint="eastAsia" w:cs="Times New Roman"/>
                <w:bCs/>
                <w:color w:val="auto"/>
                <w:sz w:val="24"/>
                <w:szCs w:val="24"/>
                <w:highlight w:val="none"/>
                <w:lang w:val="en-US" w:eastAsia="zh-CN" w:bidi="ar"/>
              </w:rPr>
              <w:t>水性漆</w:t>
            </w:r>
            <w:r>
              <w:rPr>
                <w:rFonts w:hint="default" w:ascii="Times New Roman" w:hAnsi="Times New Roman" w:cs="Times New Roman"/>
                <w:bCs/>
                <w:color w:val="auto"/>
                <w:sz w:val="24"/>
                <w:szCs w:val="24"/>
                <w:highlight w:val="none"/>
                <w:lang w:bidi="ar"/>
              </w:rPr>
              <w:t>混合调漆重新进行喷</w:t>
            </w:r>
            <w:r>
              <w:rPr>
                <w:rFonts w:hint="eastAsia" w:cs="Times New Roman"/>
                <w:bCs/>
                <w:color w:val="auto"/>
                <w:sz w:val="24"/>
                <w:szCs w:val="24"/>
                <w:highlight w:val="none"/>
                <w:lang w:val="en-US" w:eastAsia="zh-CN" w:bidi="ar"/>
              </w:rPr>
              <w:t>漆</w:t>
            </w:r>
            <w:r>
              <w:rPr>
                <w:rFonts w:hint="default" w:ascii="Times New Roman" w:hAnsi="Times New Roman" w:cs="Times New Roman"/>
                <w:bCs/>
                <w:color w:val="auto"/>
                <w:sz w:val="24"/>
                <w:szCs w:val="24"/>
                <w:highlight w:val="none"/>
                <w:lang w:bidi="ar"/>
              </w:rPr>
              <w:t>作业，</w:t>
            </w:r>
            <w:r>
              <w:rPr>
                <w:rFonts w:hint="eastAsia" w:cs="Times New Roman"/>
                <w:bCs/>
                <w:color w:val="auto"/>
                <w:sz w:val="24"/>
                <w:szCs w:val="24"/>
                <w:highlight w:val="none"/>
                <w:lang w:val="en-US" w:eastAsia="zh-CN" w:bidi="ar"/>
              </w:rPr>
              <w:t>因此不再单独核算水性漆喷枪洗枪用水，该部分用水包含在水性漆调配用水中。</w:t>
            </w:r>
          </w:p>
          <w:p>
            <w:pPr>
              <w:autoSpaceDE w:val="0"/>
              <w:autoSpaceDN w:val="0"/>
              <w:adjustRightInd w:val="0"/>
              <w:spacing w:line="360" w:lineRule="auto"/>
              <w:ind w:firstLine="480" w:firstLineChars="200"/>
              <w:rPr>
                <w:rFonts w:hint="default" w:ascii="Times New Roman" w:hAnsi="Times New Roman" w:cs="Times New Roman"/>
                <w:color w:val="auto"/>
                <w:highlight w:val="none"/>
              </w:rPr>
            </w:pPr>
            <w:r>
              <w:rPr>
                <w:rFonts w:hint="eastAsia" w:cs="Times New Roman"/>
                <w:color w:val="auto"/>
                <w:highlight w:val="none"/>
                <w:lang w:val="en-US" w:eastAsia="zh-CN"/>
              </w:rPr>
              <w:t>①</w:t>
            </w:r>
            <w:r>
              <w:rPr>
                <w:rFonts w:hint="default" w:ascii="Times New Roman" w:hAnsi="Times New Roman" w:cs="Times New Roman"/>
                <w:color w:val="auto"/>
                <w:highlight w:val="none"/>
              </w:rPr>
              <w:t>生活用水：根据《建筑给水排水设计标准》（GB50015-2019）：工业企业人员生活用水定额可取30L~50L/人·d，本项目日常生活用水主要为冲厕及盥洗用水，本次评价取50L/人·d计，本项目劳动定员</w:t>
            </w:r>
            <w:r>
              <w:rPr>
                <w:rFonts w:hint="eastAsia" w:cs="Times New Roman"/>
                <w:color w:val="auto"/>
                <w:highlight w:val="none"/>
                <w:lang w:val="en-US" w:eastAsia="zh-CN"/>
              </w:rPr>
              <w:t>60</w:t>
            </w:r>
            <w:r>
              <w:rPr>
                <w:rFonts w:hint="default" w:ascii="Times New Roman" w:hAnsi="Times New Roman" w:cs="Times New Roman"/>
                <w:color w:val="auto"/>
                <w:highlight w:val="none"/>
              </w:rPr>
              <w:t>人，年工作</w:t>
            </w:r>
            <w:r>
              <w:rPr>
                <w:rFonts w:hint="eastAsia" w:cs="Times New Roman"/>
                <w:color w:val="auto"/>
                <w:highlight w:val="none"/>
                <w:lang w:val="en-US" w:eastAsia="zh-CN"/>
              </w:rPr>
              <w:t>30</w:t>
            </w:r>
            <w:r>
              <w:rPr>
                <w:rFonts w:hint="default" w:ascii="Times New Roman" w:hAnsi="Times New Roman" w:cs="Times New Roman"/>
                <w:color w:val="auto"/>
                <w:highlight w:val="none"/>
              </w:rPr>
              <w:t>0天，故本项目员工生活用水为</w:t>
            </w:r>
            <w:r>
              <w:rPr>
                <w:rFonts w:hint="eastAsia" w:cs="Times New Roman"/>
                <w:color w:val="auto"/>
                <w:highlight w:val="none"/>
                <w:lang w:val="en-US" w:eastAsia="zh-CN"/>
              </w:rPr>
              <w:t>3</w:t>
            </w:r>
            <w:r>
              <w:rPr>
                <w:rFonts w:hint="default" w:ascii="Times New Roman" w:hAnsi="Times New Roman" w:cs="Times New Roman"/>
                <w:color w:val="auto"/>
                <w:highlight w:val="none"/>
              </w:rPr>
              <w:t>m³/d（</w:t>
            </w:r>
            <w:r>
              <w:rPr>
                <w:rFonts w:hint="eastAsia" w:cs="Times New Roman"/>
                <w:color w:val="auto"/>
                <w:highlight w:val="none"/>
                <w:lang w:val="en-US" w:eastAsia="zh-CN"/>
              </w:rPr>
              <w:t>900</w:t>
            </w:r>
            <w:r>
              <w:rPr>
                <w:rFonts w:hint="default" w:ascii="Times New Roman" w:hAnsi="Times New Roman" w:cs="Times New Roman"/>
                <w:color w:val="auto"/>
                <w:highlight w:val="none"/>
              </w:rPr>
              <w:t>m³/a）。</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0"/>
                <w:highlight w:val="none"/>
                <w:lang w:bidi="ar"/>
              </w:rPr>
            </w:pPr>
            <w:r>
              <w:rPr>
                <w:rFonts w:hint="default" w:ascii="Times New Roman" w:hAnsi="Times New Roman" w:cs="Times New Roman"/>
                <w:bCs/>
                <w:color w:val="auto"/>
                <w:sz w:val="24"/>
                <w:szCs w:val="24"/>
                <w:highlight w:val="none"/>
                <w:lang w:bidi="ar"/>
              </w:rPr>
              <w:t>②</w:t>
            </w:r>
            <w:r>
              <w:rPr>
                <w:rFonts w:hint="eastAsia" w:cs="Times New Roman"/>
                <w:color w:val="auto"/>
                <w:sz w:val="24"/>
                <w:szCs w:val="24"/>
                <w:highlight w:val="none"/>
                <w:lang w:val="en-US" w:eastAsia="zh-CN" w:bidi="ar"/>
              </w:rPr>
              <w:t>切削液调配</w:t>
            </w:r>
            <w:r>
              <w:rPr>
                <w:rFonts w:hint="default" w:ascii="Times New Roman" w:hAnsi="Times New Roman" w:cs="Times New Roman"/>
                <w:color w:val="auto"/>
                <w:sz w:val="24"/>
                <w:szCs w:val="24"/>
                <w:highlight w:val="none"/>
                <w:lang w:bidi="ar"/>
              </w:rPr>
              <w:t>用水：</w:t>
            </w:r>
            <w:r>
              <w:rPr>
                <w:rFonts w:hint="default" w:ascii="Times New Roman" w:hAnsi="Times New Roman" w:cs="Times New Roman"/>
                <w:color w:val="auto"/>
                <w:sz w:val="24"/>
                <w:szCs w:val="20"/>
                <w:highlight w:val="none"/>
                <w:lang w:bidi="ar"/>
              </w:rPr>
              <w:t>本项目生产用水主要为切削液配比用水（切削液：水=1:20），根据建设单位提供数据，本项目切削液年使用量0.</w:t>
            </w:r>
            <w:r>
              <w:rPr>
                <w:rFonts w:hint="eastAsia" w:cs="Times New Roman"/>
                <w:color w:val="auto"/>
                <w:sz w:val="24"/>
                <w:szCs w:val="20"/>
                <w:highlight w:val="none"/>
                <w:lang w:val="en-US" w:eastAsia="zh-CN" w:bidi="ar"/>
              </w:rPr>
              <w:t>3</w:t>
            </w:r>
            <w:r>
              <w:rPr>
                <w:rFonts w:hint="default" w:ascii="Times New Roman" w:hAnsi="Times New Roman" w:cs="Times New Roman"/>
                <w:color w:val="auto"/>
                <w:sz w:val="24"/>
                <w:szCs w:val="20"/>
                <w:highlight w:val="none"/>
                <w:lang w:bidi="ar"/>
              </w:rPr>
              <w:t>t，故切削液配比用水量为</w:t>
            </w:r>
            <w:r>
              <w:rPr>
                <w:rFonts w:hint="eastAsia" w:cs="Times New Roman"/>
                <w:color w:val="auto"/>
                <w:sz w:val="24"/>
                <w:szCs w:val="20"/>
                <w:highlight w:val="none"/>
                <w:lang w:val="en-US" w:eastAsia="zh-CN" w:bidi="ar"/>
              </w:rPr>
              <w:t>6</w:t>
            </w:r>
            <w:r>
              <w:rPr>
                <w:rFonts w:hint="default" w:ascii="Times New Roman" w:hAnsi="Times New Roman" w:cs="Times New Roman"/>
                <w:color w:val="auto"/>
                <w:sz w:val="24"/>
                <w:szCs w:val="20"/>
                <w:highlight w:val="none"/>
                <w:lang w:bidi="ar"/>
              </w:rPr>
              <w:t>m</w:t>
            </w:r>
            <w:r>
              <w:rPr>
                <w:rFonts w:hint="default" w:ascii="Times New Roman" w:hAnsi="Times New Roman" w:cs="Times New Roman"/>
                <w:color w:val="auto"/>
                <w:sz w:val="24"/>
                <w:szCs w:val="20"/>
                <w:highlight w:val="none"/>
                <w:vertAlign w:val="superscript"/>
                <w:lang w:bidi="ar"/>
              </w:rPr>
              <w:t>3</w:t>
            </w:r>
            <w:r>
              <w:rPr>
                <w:rFonts w:hint="default" w:ascii="Times New Roman" w:hAnsi="Times New Roman" w:cs="Times New Roman"/>
                <w:color w:val="auto"/>
                <w:sz w:val="24"/>
                <w:szCs w:val="20"/>
                <w:highlight w:val="none"/>
                <w:lang w:bidi="ar"/>
              </w:rPr>
              <w:t>/a。</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0"/>
                <w:highlight w:val="none"/>
                <w:lang w:val="en-US" w:eastAsia="zh-CN" w:bidi="ar"/>
              </w:rPr>
            </w:pPr>
            <w:r>
              <w:rPr>
                <w:rFonts w:hint="default" w:ascii="Times New Roman" w:hAnsi="Times New Roman" w:eastAsia="宋体" w:cs="Times New Roman"/>
                <w:color w:val="auto"/>
                <w:sz w:val="24"/>
                <w:szCs w:val="20"/>
                <w:highlight w:val="none"/>
                <w:lang w:bidi="ar"/>
              </w:rPr>
              <w:t>③</w:t>
            </w:r>
            <w:r>
              <w:rPr>
                <w:rFonts w:hint="eastAsia" w:ascii="Times New Roman" w:hAnsi="Times New Roman" w:eastAsia="宋体" w:cs="Times New Roman"/>
                <w:color w:val="auto"/>
                <w:sz w:val="24"/>
                <w:szCs w:val="20"/>
                <w:highlight w:val="none"/>
                <w:lang w:val="en-US" w:eastAsia="zh-CN" w:bidi="ar"/>
              </w:rPr>
              <w:t>水性漆调配</w:t>
            </w:r>
            <w:r>
              <w:rPr>
                <w:rFonts w:hint="default" w:ascii="Times New Roman" w:hAnsi="Times New Roman" w:eastAsia="宋体" w:cs="Times New Roman"/>
                <w:color w:val="auto"/>
                <w:sz w:val="24"/>
                <w:szCs w:val="20"/>
                <w:highlight w:val="none"/>
                <w:lang w:bidi="ar"/>
              </w:rPr>
              <w:t>用水：本项目水性漆调配用水使用自来水，</w:t>
            </w:r>
            <w:r>
              <w:rPr>
                <w:rFonts w:hint="eastAsia" w:ascii="Times New Roman" w:hAnsi="Times New Roman" w:eastAsia="宋体" w:cs="Times New Roman"/>
                <w:color w:val="auto"/>
                <w:sz w:val="24"/>
                <w:szCs w:val="20"/>
                <w:highlight w:val="none"/>
                <w:lang w:val="en-US" w:eastAsia="zh-CN" w:bidi="ar"/>
              </w:rPr>
              <w:t>按照</w:t>
            </w:r>
            <w:r>
              <w:rPr>
                <w:rFonts w:hint="default" w:ascii="Times New Roman" w:hAnsi="Times New Roman" w:eastAsia="宋体" w:cs="Times New Roman"/>
                <w:color w:val="auto"/>
                <w:sz w:val="24"/>
                <w:szCs w:val="20"/>
                <w:highlight w:val="none"/>
                <w:lang w:bidi="ar"/>
              </w:rPr>
              <w:t>水性漆：自来水10:1进行配</w:t>
            </w:r>
            <w:r>
              <w:rPr>
                <w:rFonts w:hint="default" w:ascii="Times New Roman" w:hAnsi="Times New Roman" w:eastAsia="宋体" w:cs="Times New Roman"/>
                <w:color w:val="auto"/>
                <w:sz w:val="24"/>
                <w:szCs w:val="20"/>
                <w:highlight w:val="none"/>
                <w:lang w:val="en-US" w:eastAsia="zh-CN" w:bidi="ar"/>
              </w:rPr>
              <w:t>置，本项目年使用水性漆</w:t>
            </w:r>
            <w:r>
              <w:rPr>
                <w:rFonts w:hint="eastAsia" w:ascii="Times New Roman" w:hAnsi="Times New Roman" w:eastAsia="宋体" w:cs="Times New Roman"/>
                <w:color w:val="auto"/>
                <w:sz w:val="24"/>
                <w:szCs w:val="20"/>
                <w:highlight w:val="none"/>
                <w:lang w:val="en-US" w:eastAsia="zh-CN" w:bidi="ar"/>
              </w:rPr>
              <w:t>27.3</w:t>
            </w:r>
            <w:r>
              <w:rPr>
                <w:rFonts w:hint="default" w:ascii="Times New Roman" w:hAnsi="Times New Roman" w:eastAsia="宋体" w:cs="Times New Roman"/>
                <w:color w:val="auto"/>
                <w:sz w:val="24"/>
                <w:szCs w:val="20"/>
                <w:highlight w:val="none"/>
                <w:lang w:val="en-US" w:eastAsia="zh-CN" w:bidi="ar"/>
              </w:rPr>
              <w:t>m</w:t>
            </w:r>
            <w:r>
              <w:rPr>
                <w:rFonts w:hint="default" w:ascii="Times New Roman" w:hAnsi="Times New Roman" w:eastAsia="宋体" w:cs="Times New Roman"/>
                <w:color w:val="auto"/>
                <w:sz w:val="24"/>
                <w:szCs w:val="20"/>
                <w:highlight w:val="none"/>
                <w:vertAlign w:val="superscript"/>
                <w:lang w:val="en-US" w:eastAsia="zh-CN" w:bidi="ar"/>
              </w:rPr>
              <w:t>3</w:t>
            </w:r>
            <w:r>
              <w:rPr>
                <w:rFonts w:hint="default" w:ascii="Times New Roman" w:hAnsi="Times New Roman" w:eastAsia="宋体" w:cs="Times New Roman"/>
                <w:color w:val="auto"/>
                <w:sz w:val="24"/>
                <w:szCs w:val="20"/>
                <w:highlight w:val="none"/>
                <w:lang w:val="en-US" w:eastAsia="zh-CN" w:bidi="ar"/>
              </w:rPr>
              <w:t>/a，自来水使用量为</w:t>
            </w:r>
            <w:r>
              <w:rPr>
                <w:rFonts w:hint="eastAsia" w:ascii="Times New Roman" w:hAnsi="Times New Roman" w:eastAsia="宋体" w:cs="Times New Roman"/>
                <w:color w:val="auto"/>
                <w:sz w:val="24"/>
                <w:szCs w:val="20"/>
                <w:highlight w:val="none"/>
                <w:lang w:val="en-US" w:eastAsia="zh-CN" w:bidi="ar"/>
              </w:rPr>
              <w:t>2.7</w:t>
            </w:r>
            <w:r>
              <w:rPr>
                <w:rFonts w:hint="default" w:ascii="Times New Roman" w:hAnsi="Times New Roman" w:eastAsia="宋体" w:cs="Times New Roman"/>
                <w:color w:val="auto"/>
                <w:sz w:val="24"/>
                <w:szCs w:val="20"/>
                <w:highlight w:val="none"/>
                <w:lang w:val="en-US" w:eastAsia="zh-CN" w:bidi="ar"/>
              </w:rPr>
              <w:t>m</w:t>
            </w:r>
            <w:r>
              <w:rPr>
                <w:rFonts w:hint="default" w:ascii="Times New Roman" w:hAnsi="Times New Roman" w:eastAsia="宋体" w:cs="Times New Roman"/>
                <w:color w:val="auto"/>
                <w:sz w:val="24"/>
                <w:szCs w:val="20"/>
                <w:highlight w:val="none"/>
                <w:vertAlign w:val="superscript"/>
                <w:lang w:val="en-US" w:eastAsia="zh-CN" w:bidi="ar"/>
              </w:rPr>
              <w:t>3</w:t>
            </w:r>
            <w:r>
              <w:rPr>
                <w:rFonts w:hint="default" w:ascii="Times New Roman" w:hAnsi="Times New Roman" w:eastAsia="宋体" w:cs="Times New Roman"/>
                <w:color w:val="auto"/>
                <w:sz w:val="24"/>
                <w:szCs w:val="20"/>
                <w:highlight w:val="none"/>
                <w:lang w:val="en-US" w:eastAsia="zh-CN" w:bidi="ar"/>
              </w:rPr>
              <w:t>/a。</w:t>
            </w:r>
            <w:r>
              <w:rPr>
                <w:rFonts w:hint="eastAsia" w:ascii="Times New Roman" w:hAnsi="Times New Roman" w:eastAsia="宋体" w:cs="Times New Roman"/>
                <w:color w:val="auto"/>
                <w:sz w:val="24"/>
                <w:szCs w:val="20"/>
                <w:highlight w:val="none"/>
                <w:lang w:val="en-US" w:eastAsia="zh-CN" w:bidi="ar"/>
              </w:rPr>
              <w:t xml:space="preserve">  </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0"/>
                <w:highlight w:val="none"/>
                <w:lang w:val="en-US" w:eastAsia="zh-CN" w:bidi="ar"/>
              </w:rPr>
            </w:pPr>
            <w:r>
              <w:rPr>
                <w:rFonts w:hint="eastAsia" w:ascii="Times New Roman" w:hAnsi="Times New Roman" w:eastAsia="宋体" w:cs="Times New Roman"/>
                <w:color w:val="auto"/>
                <w:sz w:val="24"/>
                <w:szCs w:val="20"/>
                <w:highlight w:val="none"/>
                <w:lang w:val="en-US" w:eastAsia="zh-CN" w:bidi="ar"/>
              </w:rPr>
              <w:t>④</w:t>
            </w:r>
            <w:r>
              <w:rPr>
                <w:rFonts w:hint="default" w:ascii="Times New Roman" w:hAnsi="Times New Roman" w:eastAsia="宋体" w:cs="Times New Roman"/>
                <w:color w:val="auto"/>
                <w:sz w:val="24"/>
                <w:szCs w:val="20"/>
                <w:highlight w:val="none"/>
                <w:lang w:val="en-US" w:eastAsia="zh-CN" w:bidi="ar"/>
              </w:rPr>
              <w:t>本项目建设水帘处理装置，</w:t>
            </w:r>
            <w:r>
              <w:rPr>
                <w:rFonts w:hint="eastAsia" w:ascii="Times New Roman" w:hAnsi="Times New Roman" w:eastAsia="宋体" w:cs="Times New Roman"/>
                <w:color w:val="auto"/>
                <w:sz w:val="24"/>
                <w:szCs w:val="20"/>
                <w:highlight w:val="none"/>
                <w:lang w:val="en-US" w:eastAsia="zh-CN" w:bidi="ar"/>
              </w:rPr>
              <w:t>配套</w:t>
            </w:r>
            <w:r>
              <w:rPr>
                <w:rFonts w:hint="default" w:ascii="Times New Roman" w:hAnsi="Times New Roman" w:eastAsia="宋体" w:cs="Times New Roman"/>
                <w:color w:val="auto"/>
                <w:sz w:val="24"/>
                <w:szCs w:val="20"/>
                <w:highlight w:val="none"/>
                <w:lang w:val="en-US" w:eastAsia="zh-CN" w:bidi="ar"/>
              </w:rPr>
              <w:t>水槽容积约为2m³，循环水量约为30m³/d，每天补水量为0.</w:t>
            </w:r>
            <w:r>
              <w:rPr>
                <w:rFonts w:hint="eastAsia" w:ascii="Times New Roman" w:hAnsi="Times New Roman" w:eastAsia="宋体" w:cs="Times New Roman"/>
                <w:color w:val="auto"/>
                <w:sz w:val="24"/>
                <w:szCs w:val="20"/>
                <w:highlight w:val="none"/>
                <w:lang w:val="en-US" w:eastAsia="zh-CN" w:bidi="ar"/>
              </w:rPr>
              <w:t>1</w:t>
            </w:r>
            <w:r>
              <w:rPr>
                <w:rFonts w:hint="default" w:ascii="Times New Roman" w:hAnsi="Times New Roman" w:eastAsia="宋体" w:cs="Times New Roman"/>
                <w:color w:val="auto"/>
                <w:sz w:val="24"/>
                <w:szCs w:val="20"/>
                <w:highlight w:val="none"/>
                <w:lang w:val="en-US" w:eastAsia="zh-CN" w:bidi="ar"/>
              </w:rPr>
              <w:t>m³/d</w:t>
            </w:r>
            <w:r>
              <w:rPr>
                <w:rFonts w:hint="eastAsia" w:ascii="Times New Roman" w:hAnsi="Times New Roman" w:eastAsia="宋体" w:cs="Times New Roman"/>
                <w:color w:val="auto"/>
                <w:sz w:val="24"/>
                <w:szCs w:val="20"/>
                <w:highlight w:val="none"/>
                <w:lang w:val="en-US" w:eastAsia="zh-CN" w:bidi="ar"/>
              </w:rPr>
              <w:t>。本项目全年生产时间为300d/年，</w:t>
            </w:r>
            <w:r>
              <w:rPr>
                <w:rFonts w:hint="default" w:ascii="Times New Roman" w:hAnsi="Times New Roman" w:eastAsia="宋体" w:cs="Times New Roman"/>
                <w:color w:val="auto"/>
                <w:sz w:val="24"/>
                <w:szCs w:val="20"/>
                <w:highlight w:val="none"/>
                <w:lang w:val="en-US" w:eastAsia="zh-CN" w:bidi="ar"/>
              </w:rPr>
              <w:t>水帘处理装置使用时间较长后，需要定期更换用水，每</w:t>
            </w:r>
            <w:r>
              <w:rPr>
                <w:rFonts w:hint="eastAsia" w:ascii="Times New Roman" w:hAnsi="Times New Roman" w:eastAsia="宋体" w:cs="Times New Roman"/>
                <w:color w:val="auto"/>
                <w:sz w:val="24"/>
                <w:szCs w:val="20"/>
                <w:highlight w:val="none"/>
                <w:lang w:val="en-US" w:eastAsia="zh-CN" w:bidi="ar"/>
              </w:rPr>
              <w:t>三</w:t>
            </w:r>
            <w:r>
              <w:rPr>
                <w:rFonts w:hint="default" w:ascii="Times New Roman" w:hAnsi="Times New Roman" w:eastAsia="宋体" w:cs="Times New Roman"/>
                <w:color w:val="auto"/>
                <w:sz w:val="24"/>
                <w:szCs w:val="20"/>
                <w:highlight w:val="none"/>
                <w:lang w:val="en-US" w:eastAsia="zh-CN" w:bidi="ar"/>
              </w:rPr>
              <w:t>个月更换一次</w:t>
            </w:r>
            <w:r>
              <w:rPr>
                <w:rFonts w:hint="eastAsia" w:ascii="Times New Roman" w:hAnsi="Times New Roman" w:eastAsia="宋体" w:cs="Times New Roman"/>
                <w:color w:val="auto"/>
                <w:sz w:val="24"/>
                <w:szCs w:val="20"/>
                <w:highlight w:val="none"/>
                <w:lang w:val="en-US" w:eastAsia="zh-CN" w:bidi="ar"/>
              </w:rPr>
              <w:t>，共需更换4次</w:t>
            </w:r>
            <w:r>
              <w:rPr>
                <w:rFonts w:hint="default" w:ascii="Times New Roman" w:hAnsi="Times New Roman" w:eastAsia="宋体" w:cs="Times New Roman"/>
                <w:color w:val="auto"/>
                <w:sz w:val="24"/>
                <w:szCs w:val="20"/>
                <w:highlight w:val="none"/>
                <w:lang w:val="en-US" w:eastAsia="zh-CN" w:bidi="ar"/>
              </w:rPr>
              <w:t>，则水帘处理装置用水为0.</w:t>
            </w:r>
            <w:r>
              <w:rPr>
                <w:rFonts w:hint="eastAsia" w:ascii="Times New Roman" w:hAnsi="Times New Roman" w:eastAsia="宋体" w:cs="Times New Roman"/>
                <w:color w:val="auto"/>
                <w:sz w:val="24"/>
                <w:szCs w:val="20"/>
                <w:highlight w:val="none"/>
                <w:lang w:val="en-US" w:eastAsia="zh-CN" w:bidi="ar"/>
              </w:rPr>
              <w:t>1</w:t>
            </w:r>
            <w:r>
              <w:rPr>
                <w:rFonts w:hint="default" w:ascii="Times New Roman" w:hAnsi="Times New Roman" w:eastAsia="宋体" w:cs="Times New Roman"/>
                <w:color w:val="auto"/>
                <w:sz w:val="24"/>
                <w:szCs w:val="20"/>
                <w:highlight w:val="none"/>
                <w:lang w:val="en-US" w:eastAsia="zh-CN" w:bidi="ar"/>
              </w:rPr>
              <w:t>m³/d，最大用水量为2.</w:t>
            </w:r>
            <w:r>
              <w:rPr>
                <w:rFonts w:hint="eastAsia" w:ascii="Times New Roman" w:hAnsi="Times New Roman" w:eastAsia="宋体" w:cs="Times New Roman"/>
                <w:color w:val="auto"/>
                <w:sz w:val="24"/>
                <w:szCs w:val="20"/>
                <w:highlight w:val="none"/>
                <w:lang w:val="en-US" w:eastAsia="zh-CN" w:bidi="ar"/>
              </w:rPr>
              <w:t>1</w:t>
            </w:r>
            <w:r>
              <w:rPr>
                <w:rFonts w:hint="default" w:ascii="Times New Roman" w:hAnsi="Times New Roman" w:eastAsia="宋体" w:cs="Times New Roman"/>
                <w:color w:val="auto"/>
                <w:sz w:val="24"/>
                <w:szCs w:val="20"/>
                <w:highlight w:val="none"/>
                <w:lang w:val="en-US" w:eastAsia="zh-CN" w:bidi="ar"/>
              </w:rPr>
              <w:t>m³/d，年用水量为</w:t>
            </w:r>
            <w:r>
              <w:rPr>
                <w:rFonts w:hint="eastAsia" w:ascii="Times New Roman" w:hAnsi="Times New Roman" w:eastAsia="宋体" w:cs="Times New Roman"/>
                <w:color w:val="auto"/>
                <w:sz w:val="24"/>
                <w:szCs w:val="20"/>
                <w:highlight w:val="none"/>
                <w:lang w:val="en-US" w:eastAsia="zh-CN" w:bidi="ar"/>
              </w:rPr>
              <w:t>38</w:t>
            </w:r>
            <w:r>
              <w:rPr>
                <w:rFonts w:hint="default" w:ascii="Times New Roman" w:hAnsi="Times New Roman" w:eastAsia="宋体" w:cs="Times New Roman"/>
                <w:color w:val="auto"/>
                <w:sz w:val="24"/>
                <w:szCs w:val="20"/>
                <w:highlight w:val="none"/>
                <w:lang w:val="en-US" w:eastAsia="zh-CN" w:bidi="ar"/>
              </w:rPr>
              <w:t>m³/a。</w:t>
            </w:r>
          </w:p>
          <w:p>
            <w:pPr>
              <w:autoSpaceDE w:val="0"/>
              <w:autoSpaceDN w:val="0"/>
              <w:adjustRightInd w:val="0"/>
              <w:spacing w:line="360" w:lineRule="auto"/>
              <w:ind w:firstLine="480" w:firstLineChars="200"/>
              <w:rPr>
                <w:rFonts w:hint="default" w:ascii="Times New Roman" w:hAnsi="Times New Roman" w:eastAsia="宋体" w:cs="Times New Roman"/>
                <w:snapToGrid/>
                <w:color w:val="auto"/>
                <w:spacing w:val="0"/>
                <w:sz w:val="24"/>
                <w:szCs w:val="20"/>
                <w:highlight w:val="none"/>
                <w:lang w:val="en-US" w:eastAsia="zh-CN" w:bidi="ar"/>
              </w:rPr>
            </w:pPr>
            <w:r>
              <w:rPr>
                <w:rFonts w:hint="default" w:ascii="Times New Roman" w:hAnsi="Times New Roman" w:eastAsia="宋体" w:cs="Times New Roman"/>
                <w:snapToGrid/>
                <w:color w:val="auto"/>
                <w:spacing w:val="0"/>
                <w:sz w:val="24"/>
                <w:szCs w:val="20"/>
                <w:highlight w:val="none"/>
                <w:lang w:val="en-US" w:eastAsia="zh-CN" w:bidi="ar"/>
              </w:rPr>
              <w:t>综上，用水量合计为</w:t>
            </w:r>
            <w:r>
              <w:rPr>
                <w:rFonts w:hint="eastAsia" w:cs="Times New Roman"/>
                <w:snapToGrid/>
                <w:color w:val="auto"/>
                <w:spacing w:val="0"/>
                <w:sz w:val="24"/>
                <w:szCs w:val="20"/>
                <w:highlight w:val="none"/>
                <w:lang w:val="en-US" w:eastAsia="zh-CN" w:bidi="ar"/>
              </w:rPr>
              <w:t>946.7</w:t>
            </w:r>
            <w:r>
              <w:rPr>
                <w:rFonts w:hint="default" w:ascii="Times New Roman" w:hAnsi="Times New Roman" w:eastAsia="宋体" w:cs="Times New Roman"/>
                <w:snapToGrid/>
                <w:color w:val="auto"/>
                <w:spacing w:val="0"/>
                <w:sz w:val="24"/>
                <w:szCs w:val="20"/>
                <w:highlight w:val="none"/>
                <w:lang w:val="en-US" w:eastAsia="zh-CN" w:bidi="ar"/>
              </w:rPr>
              <w:t>m³/a。</w:t>
            </w:r>
          </w:p>
          <w:p>
            <w:pPr>
              <w:wordWrap w:val="0"/>
              <w:topLinePunct/>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（2）排水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厂区排水均采用雨、污分流制。</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本项目</w:t>
            </w:r>
            <w:r>
              <w:rPr>
                <w:rFonts w:hint="default" w:ascii="Times New Roman" w:hAnsi="Times New Roman" w:cs="Times New Roman"/>
                <w:color w:val="auto"/>
                <w:sz w:val="24"/>
                <w:szCs w:val="20"/>
                <w:highlight w:val="none"/>
              </w:rPr>
              <w:t>切削液循环使用，定期补充不外排，根据建设单位提供资料，切削液损耗率按50%计算，</w:t>
            </w:r>
            <w:r>
              <w:rPr>
                <w:rFonts w:hint="eastAsia" w:cs="Times New Roman"/>
                <w:color w:val="auto"/>
                <w:sz w:val="24"/>
                <w:szCs w:val="20"/>
                <w:highlight w:val="none"/>
                <w:lang w:val="en-US" w:eastAsia="zh-CN"/>
              </w:rPr>
              <w:t>废切削液产生量为3.15</w:t>
            </w:r>
            <w:r>
              <w:rPr>
                <w:rFonts w:hint="default" w:ascii="Times New Roman" w:hAnsi="Times New Roman" w:cs="Times New Roman"/>
                <w:color w:val="auto"/>
                <w:sz w:val="24"/>
                <w:szCs w:val="20"/>
                <w:highlight w:val="none"/>
              </w:rPr>
              <w:t>t，定期委托具有相应处理资质单位处理。</w:t>
            </w:r>
            <w:r>
              <w:rPr>
                <w:rFonts w:hint="eastAsia" w:cs="Times New Roman"/>
                <w:color w:val="auto"/>
                <w:highlight w:val="none"/>
                <w:lang w:val="en-US" w:eastAsia="zh-CN"/>
              </w:rPr>
              <w:t>伸缩式喷漆房</w:t>
            </w:r>
            <w:r>
              <w:rPr>
                <w:rFonts w:hint="default" w:ascii="Times New Roman" w:hAnsi="Times New Roman" w:cs="Times New Roman"/>
                <w:color w:val="auto"/>
                <w:highlight w:val="none"/>
              </w:rPr>
              <w:t>水帘用水循环使用，定期收集，作为危险废物委托有资质单位进行处理，无生产废水排放。</w:t>
            </w:r>
            <w:r>
              <w:rPr>
                <w:rFonts w:hint="default" w:ascii="Times New Roman" w:hAnsi="Times New Roman" w:cs="Times New Roman"/>
                <w:bCs/>
                <w:color w:val="auto"/>
                <w:sz w:val="24"/>
                <w:szCs w:val="24"/>
                <w:highlight w:val="none"/>
                <w:lang w:bidi="ar"/>
              </w:rPr>
              <w:t>水性漆喷枪采用少量水浸润清洗，洗枪废液与</w:t>
            </w:r>
            <w:r>
              <w:rPr>
                <w:rFonts w:hint="eastAsia" w:cs="Times New Roman"/>
                <w:bCs/>
                <w:color w:val="auto"/>
                <w:sz w:val="24"/>
                <w:szCs w:val="24"/>
                <w:highlight w:val="none"/>
                <w:lang w:val="en-US" w:eastAsia="zh-CN" w:bidi="ar"/>
              </w:rPr>
              <w:t>水性漆</w:t>
            </w:r>
            <w:r>
              <w:rPr>
                <w:rFonts w:hint="default" w:ascii="Times New Roman" w:hAnsi="Times New Roman" w:cs="Times New Roman"/>
                <w:bCs/>
                <w:color w:val="auto"/>
                <w:sz w:val="24"/>
                <w:szCs w:val="24"/>
                <w:highlight w:val="none"/>
                <w:lang w:bidi="ar"/>
              </w:rPr>
              <w:t>混合调漆重新进行喷</w:t>
            </w:r>
            <w:r>
              <w:rPr>
                <w:rFonts w:hint="eastAsia" w:cs="Times New Roman"/>
                <w:bCs/>
                <w:color w:val="auto"/>
                <w:sz w:val="24"/>
                <w:szCs w:val="24"/>
                <w:highlight w:val="none"/>
                <w:lang w:val="en-US" w:eastAsia="zh-CN" w:bidi="ar"/>
              </w:rPr>
              <w:t>漆</w:t>
            </w:r>
            <w:r>
              <w:rPr>
                <w:rFonts w:hint="default" w:ascii="Times New Roman" w:hAnsi="Times New Roman" w:cs="Times New Roman"/>
                <w:bCs/>
                <w:color w:val="auto"/>
                <w:sz w:val="24"/>
                <w:szCs w:val="24"/>
                <w:highlight w:val="none"/>
                <w:lang w:bidi="ar"/>
              </w:rPr>
              <w:t>作业，</w:t>
            </w:r>
            <w:r>
              <w:rPr>
                <w:rFonts w:hint="eastAsia" w:cs="Times New Roman"/>
                <w:bCs/>
                <w:color w:val="auto"/>
                <w:sz w:val="24"/>
                <w:szCs w:val="24"/>
                <w:highlight w:val="none"/>
                <w:lang w:val="en-US" w:eastAsia="zh-CN" w:bidi="ar"/>
              </w:rPr>
              <w:t>不会产生洗枪废水。</w:t>
            </w:r>
            <w:r>
              <w:rPr>
                <w:rFonts w:hint="default" w:ascii="Times New Roman" w:hAnsi="Times New Roman" w:cs="Times New Roman"/>
                <w:color w:val="auto"/>
                <w:highlight w:val="none"/>
              </w:rPr>
              <w:t>本项目车间地面清洁方式为干式清扫，不涉及车间地面清洗用水</w:t>
            </w:r>
            <w:r>
              <w:rPr>
                <w:rFonts w:hint="eastAsia" w:cs="Times New Roman"/>
                <w:color w:val="auto"/>
                <w:highlight w:val="none"/>
                <w:lang w:eastAsia="zh-CN"/>
              </w:rPr>
              <w:t>，</w:t>
            </w:r>
            <w:r>
              <w:rPr>
                <w:rFonts w:hint="eastAsia" w:cs="Times New Roman"/>
                <w:color w:val="auto"/>
                <w:highlight w:val="none"/>
                <w:lang w:val="en-US" w:eastAsia="zh-CN"/>
              </w:rPr>
              <w:t>不涉及车间地面清洗废水</w:t>
            </w:r>
            <w:r>
              <w:rPr>
                <w:rFonts w:hint="default" w:ascii="Times New Roman" w:hAnsi="Times New Roman" w:cs="Times New Roman"/>
                <w:color w:val="auto"/>
                <w:highlight w:val="none"/>
              </w:rPr>
              <w:t>。本项目不涉及设备清洗</w:t>
            </w:r>
            <w:r>
              <w:rPr>
                <w:rFonts w:hint="eastAsia" w:cs="Times New Roman"/>
                <w:color w:val="auto"/>
                <w:highlight w:val="none"/>
                <w:lang w:eastAsia="zh-CN"/>
              </w:rPr>
              <w:t>，</w:t>
            </w:r>
            <w:r>
              <w:rPr>
                <w:rFonts w:hint="eastAsia" w:cs="Times New Roman"/>
                <w:color w:val="auto"/>
                <w:highlight w:val="none"/>
                <w:lang w:val="en-US" w:eastAsia="zh-CN"/>
              </w:rPr>
              <w:t>不涉及设备清洗废水</w:t>
            </w:r>
            <w:r>
              <w:rPr>
                <w:rFonts w:hint="default" w:ascii="Times New Roman" w:hAnsi="Times New Roman" w:cs="Times New Roman"/>
                <w:color w:val="auto"/>
                <w:highlight w:val="none"/>
              </w:rPr>
              <w:t>。</w:t>
            </w:r>
            <w:r>
              <w:rPr>
                <w:rFonts w:hint="eastAsia" w:cs="Times New Roman"/>
                <w:color w:val="auto"/>
                <w:highlight w:val="none"/>
                <w:lang w:val="en-US" w:eastAsia="zh-CN"/>
              </w:rPr>
              <w:t xml:space="preserve"> </w:t>
            </w:r>
          </w:p>
          <w:p>
            <w:pPr>
              <w:wordWrap w:val="0"/>
              <w:topLinePunct/>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本项目在运营过程中产生的废水为生活污水，外排的污水通过污水管网排入</w:t>
            </w:r>
            <w:r>
              <w:rPr>
                <w:rFonts w:hint="eastAsia" w:cs="Times New Roman"/>
                <w:color w:val="auto"/>
                <w:highlight w:val="none"/>
                <w:lang w:eastAsia="zh-CN"/>
              </w:rPr>
              <w:t>大港石化产业园区污水处理厂</w:t>
            </w:r>
            <w:r>
              <w:rPr>
                <w:rFonts w:hint="default" w:ascii="Times New Roman" w:hAnsi="Times New Roman" w:cs="Times New Roman"/>
                <w:color w:val="auto"/>
                <w:highlight w:val="none"/>
              </w:rPr>
              <w:t>进行处理。</w:t>
            </w:r>
          </w:p>
          <w:p>
            <w:pPr>
              <w:wordWrap w:val="0"/>
              <w:topLinePunct/>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本项目外排废水为员工生活污水。生活污水排放系数按</w:t>
            </w:r>
            <w:r>
              <w:rPr>
                <w:rFonts w:hint="eastAsia" w:cs="Times New Roman"/>
                <w:color w:val="auto"/>
                <w:highlight w:val="none"/>
                <w:lang w:val="en-US" w:eastAsia="zh-CN"/>
              </w:rPr>
              <w:t>90</w:t>
            </w:r>
            <w:r>
              <w:rPr>
                <w:rFonts w:hint="default" w:ascii="Times New Roman" w:hAnsi="Times New Roman" w:cs="Times New Roman"/>
                <w:color w:val="auto"/>
                <w:highlight w:val="none"/>
              </w:rPr>
              <w:t>%计，则生活污水排放量约为</w:t>
            </w:r>
            <w:bookmarkStart w:id="2" w:name="_Hlk33099500"/>
            <w:r>
              <w:rPr>
                <w:rFonts w:hint="eastAsia" w:cs="Times New Roman"/>
                <w:color w:val="auto"/>
                <w:highlight w:val="none"/>
                <w:lang w:val="en-US" w:eastAsia="zh-CN"/>
              </w:rPr>
              <w:t>2.7</w:t>
            </w:r>
            <w:r>
              <w:rPr>
                <w:rFonts w:hint="default" w:ascii="Times New Roman" w:hAnsi="Times New Roman" w:cs="Times New Roman"/>
                <w:color w:val="auto"/>
                <w:highlight w:val="none"/>
              </w:rPr>
              <w:t>m³/d（</w:t>
            </w:r>
            <w:r>
              <w:rPr>
                <w:rFonts w:hint="eastAsia" w:cs="Times New Roman"/>
                <w:color w:val="auto"/>
                <w:highlight w:val="none"/>
                <w:lang w:val="en-US" w:eastAsia="zh-CN"/>
              </w:rPr>
              <w:t>810</w:t>
            </w:r>
            <w:r>
              <w:rPr>
                <w:rFonts w:hint="default" w:ascii="Times New Roman" w:hAnsi="Times New Roman" w:cs="Times New Roman"/>
                <w:color w:val="auto"/>
                <w:highlight w:val="none"/>
              </w:rPr>
              <w:t>m³/a）</w:t>
            </w:r>
            <w:bookmarkEnd w:id="2"/>
            <w:r>
              <w:rPr>
                <w:rFonts w:hint="default" w:ascii="Times New Roman" w:hAnsi="Times New Roman" w:cs="Times New Roman"/>
                <w:color w:val="auto"/>
                <w:highlight w:val="none"/>
              </w:rPr>
              <w:t>，外排的废水经化粪池沉淀处理后通过污水管网排入</w:t>
            </w:r>
            <w:r>
              <w:rPr>
                <w:rFonts w:hint="eastAsia" w:cs="Times New Roman"/>
                <w:color w:val="auto"/>
                <w:highlight w:val="none"/>
                <w:lang w:eastAsia="zh-CN"/>
              </w:rPr>
              <w:t>大港石化产业园区污水处理厂</w:t>
            </w:r>
            <w:r>
              <w:rPr>
                <w:rFonts w:hint="default" w:ascii="Times New Roman" w:hAnsi="Times New Roman" w:cs="Times New Roman"/>
                <w:color w:val="auto"/>
                <w:highlight w:val="none"/>
              </w:rPr>
              <w:t>进行处理。</w:t>
            </w:r>
          </w:p>
          <w:p>
            <w:pPr>
              <w:pStyle w:val="25"/>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本项目给排水情况见下表，水平衡见图2-1。</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表2-7本项目给排水情况表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8"/>
              <w:gridCol w:w="1470"/>
              <w:gridCol w:w="1502"/>
              <w:gridCol w:w="975"/>
              <w:gridCol w:w="1561"/>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trPr>
              <w:tc>
                <w:tcPr>
                  <w:tcW w:w="835"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872"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日用水量</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m³/d)</w:t>
                  </w:r>
                </w:p>
              </w:tc>
              <w:tc>
                <w:tcPr>
                  <w:tcW w:w="891"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年用水量</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m³/a)</w:t>
                  </w:r>
                </w:p>
              </w:tc>
              <w:tc>
                <w:tcPr>
                  <w:tcW w:w="578"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排污系数</w:t>
                  </w:r>
                </w:p>
              </w:tc>
              <w:tc>
                <w:tcPr>
                  <w:tcW w:w="926"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日排水量*(m³/d)</w:t>
                  </w:r>
                </w:p>
              </w:tc>
              <w:tc>
                <w:tcPr>
                  <w:tcW w:w="896"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年排水量*(m³/a)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trPr>
              <w:tc>
                <w:tcPr>
                  <w:tcW w:w="835" w:type="pct"/>
                  <w:vAlign w:val="center"/>
                </w:tcPr>
                <w:p>
                  <w:pPr>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切削液调配用水</w:t>
                  </w:r>
                </w:p>
              </w:tc>
              <w:tc>
                <w:tcPr>
                  <w:tcW w:w="872" w:type="pct"/>
                  <w:vAlign w:val="center"/>
                </w:tcPr>
                <w:p>
                  <w:pPr>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891" w:type="pct"/>
                  <w:vAlign w:val="center"/>
                </w:tcPr>
                <w:p>
                  <w:pPr>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578" w:type="pct"/>
                  <w:vAlign w:val="center"/>
                </w:tcPr>
                <w:p>
                  <w:pPr>
                    <w:autoSpaceDN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26" w:type="pct"/>
                  <w:vAlign w:val="center"/>
                </w:tcPr>
                <w:p>
                  <w:pPr>
                    <w:autoSpaceDN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896" w:type="pct"/>
                  <w:vAlign w:val="center"/>
                </w:tcPr>
                <w:p>
                  <w:pPr>
                    <w:autoSpaceDN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2" w:hRule="atLeast"/>
              </w:trPr>
              <w:tc>
                <w:tcPr>
                  <w:tcW w:w="835" w:type="pct"/>
                  <w:vAlign w:val="center"/>
                </w:tcPr>
                <w:p>
                  <w:pPr>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水性漆调配用水</w:t>
                  </w:r>
                </w:p>
              </w:tc>
              <w:tc>
                <w:tcPr>
                  <w:tcW w:w="872" w:type="pct"/>
                  <w:vAlign w:val="center"/>
                </w:tcPr>
                <w:p>
                  <w:pPr>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0.01125</w:t>
                  </w:r>
                </w:p>
              </w:tc>
              <w:tc>
                <w:tcPr>
                  <w:tcW w:w="891" w:type="pct"/>
                  <w:vAlign w:val="center"/>
                </w:tcPr>
                <w:p>
                  <w:pPr>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578"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926"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w:t>
                  </w:r>
                </w:p>
              </w:tc>
              <w:tc>
                <w:tcPr>
                  <w:tcW w:w="896"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35"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水帘用水</w:t>
                  </w:r>
                </w:p>
              </w:tc>
              <w:tc>
                <w:tcPr>
                  <w:tcW w:w="872" w:type="pct"/>
                  <w:vAlign w:val="center"/>
                </w:tcPr>
                <w:p>
                  <w:pPr>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127</w:t>
                  </w:r>
                </w:p>
              </w:tc>
              <w:tc>
                <w:tcPr>
                  <w:tcW w:w="891"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38</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消耗量为30，</w:t>
                  </w:r>
                  <w:r>
                    <w:rPr>
                      <w:rFonts w:hint="default" w:ascii="Times New Roman" w:hAnsi="Times New Roman" w:cs="Times New Roman"/>
                      <w:color w:val="auto"/>
                      <w:sz w:val="21"/>
                      <w:szCs w:val="21"/>
                      <w:highlight w:val="none"/>
                    </w:rPr>
                    <w:t>更换量为</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w:t>
                  </w:r>
                </w:p>
              </w:tc>
              <w:tc>
                <w:tcPr>
                  <w:tcW w:w="578"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926"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896"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atLeast"/>
              </w:trPr>
              <w:tc>
                <w:tcPr>
                  <w:tcW w:w="835"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生活用水</w:t>
                  </w:r>
                </w:p>
              </w:tc>
              <w:tc>
                <w:tcPr>
                  <w:tcW w:w="872" w:type="pct"/>
                  <w:vAlign w:val="center"/>
                </w:tcPr>
                <w:p>
                  <w:pPr>
                    <w:autoSpaceDN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891" w:type="pct"/>
                  <w:vAlign w:val="center"/>
                </w:tcPr>
                <w:p>
                  <w:pPr>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900</w:t>
                  </w:r>
                </w:p>
              </w:tc>
              <w:tc>
                <w:tcPr>
                  <w:tcW w:w="578" w:type="pct"/>
                  <w:vAlign w:val="center"/>
                </w:tcPr>
                <w:p>
                  <w:pPr>
                    <w:autoSpaceDN w:val="0"/>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9</w:t>
                  </w:r>
                </w:p>
              </w:tc>
              <w:tc>
                <w:tcPr>
                  <w:tcW w:w="926" w:type="pct"/>
                  <w:vAlign w:val="center"/>
                </w:tcPr>
                <w:p>
                  <w:pPr>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896" w:type="pct"/>
                  <w:vAlign w:val="center"/>
                </w:tcPr>
                <w:p>
                  <w:pPr>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835"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872" w:type="pct"/>
                  <w:vAlign w:val="center"/>
                </w:tcPr>
                <w:p>
                  <w:pPr>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3.15825</w:t>
                  </w:r>
                </w:p>
              </w:tc>
              <w:tc>
                <w:tcPr>
                  <w:tcW w:w="891" w:type="pct"/>
                  <w:vAlign w:val="center"/>
                </w:tcPr>
                <w:p>
                  <w:pPr>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946.7</w:t>
                  </w:r>
                </w:p>
              </w:tc>
              <w:tc>
                <w:tcPr>
                  <w:tcW w:w="578" w:type="pct"/>
                  <w:vAlign w:val="center"/>
                </w:tcPr>
                <w:p>
                  <w:pPr>
                    <w:autoSpaceDN w:val="0"/>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926" w:type="pct"/>
                  <w:vAlign w:val="center"/>
                </w:tcPr>
                <w:p>
                  <w:pPr>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896" w:type="pct"/>
                  <w:vAlign w:val="center"/>
                </w:tcPr>
                <w:p>
                  <w:pPr>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810</w:t>
                  </w:r>
                </w:p>
              </w:tc>
            </w:tr>
          </w:tbl>
          <w:p>
            <w:pPr>
              <w:rPr>
                <w:rFonts w:hint="eastAsia" w:ascii="Times New Roman" w:hAnsi="Times New Roman" w:eastAsia="宋体" w:cs="Times New Roman"/>
                <w:b/>
                <w:bCs/>
                <w:color w:val="auto"/>
                <w:highlight w:val="none"/>
                <w:lang w:eastAsia="zh-CN"/>
              </w:rPr>
            </w:pPr>
          </w:p>
          <w:p>
            <w:pPr>
              <w:rPr>
                <w:rFonts w:hint="eastAsia" w:ascii="Times New Roman" w:hAnsi="Times New Roman" w:eastAsia="宋体" w:cs="Times New Roman"/>
                <w:b/>
                <w:bCs/>
                <w:color w:val="auto"/>
                <w:highlight w:val="none"/>
                <w:lang w:eastAsia="zh-CN"/>
              </w:rPr>
            </w:pPr>
            <w:r>
              <w:rPr>
                <w:rFonts w:hint="eastAsia" w:ascii="Times New Roman" w:hAnsi="Times New Roman" w:eastAsia="宋体" w:cs="Times New Roman"/>
                <w:b/>
                <w:bCs/>
                <w:color w:val="auto"/>
                <w:highlight w:val="none"/>
                <w:lang w:eastAsia="zh-CN"/>
              </w:rPr>
              <w:drawing>
                <wp:inline distT="0" distB="0" distL="114300" distR="114300">
                  <wp:extent cx="5357495" cy="2751455"/>
                  <wp:effectExtent l="0" t="0" r="6985" b="6985"/>
                  <wp:docPr id="10" name="图片 10" descr="170338596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03385967697"/>
                          <pic:cNvPicPr>
                            <a:picLocks noChangeAspect="1"/>
                          </pic:cNvPicPr>
                        </pic:nvPicPr>
                        <pic:blipFill>
                          <a:blip r:embed="rId6"/>
                          <a:stretch>
                            <a:fillRect/>
                          </a:stretch>
                        </pic:blipFill>
                        <pic:spPr>
                          <a:xfrm>
                            <a:off x="0" y="0"/>
                            <a:ext cx="5357495" cy="2751455"/>
                          </a:xfrm>
                          <a:prstGeom prst="rect">
                            <a:avLst/>
                          </a:prstGeom>
                        </pic:spPr>
                      </pic:pic>
                    </a:graphicData>
                  </a:graphic>
                </wp:inline>
              </w:drawing>
            </w:r>
          </w:p>
          <w:p>
            <w:pPr>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图2-1  本项目给排水平衡图  单位：m³/d</w:t>
            </w:r>
          </w:p>
          <w:p>
            <w:pPr>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2、供电</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本项目电源引自市政电网，由市政电网统一提供，年用电量约</w:t>
            </w:r>
            <w:r>
              <w:rPr>
                <w:rFonts w:hint="eastAsia" w:cs="Times New Roman"/>
                <w:color w:val="auto"/>
                <w:highlight w:val="none"/>
                <w:lang w:val="en-US" w:eastAsia="zh-CN"/>
              </w:rPr>
              <w:t>20</w:t>
            </w:r>
            <w:r>
              <w:rPr>
                <w:rFonts w:hint="default" w:ascii="Times New Roman" w:hAnsi="Times New Roman" w:cs="Times New Roman"/>
                <w:color w:val="auto"/>
                <w:highlight w:val="none"/>
              </w:rPr>
              <w:t>万kWh。</w:t>
            </w:r>
          </w:p>
          <w:p>
            <w:pPr>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3、供热、制冷</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本项目办公室采用分体空调进行取暖、制冷，生产区无制冷、取暖</w:t>
            </w:r>
            <w:r>
              <w:rPr>
                <w:rFonts w:hint="eastAsia" w:cs="Times New Roman"/>
                <w:color w:val="auto"/>
                <w:highlight w:val="none"/>
                <w:lang w:eastAsia="zh-CN"/>
              </w:rPr>
              <w:t>，</w:t>
            </w:r>
            <w:r>
              <w:rPr>
                <w:rFonts w:hint="eastAsia" w:cs="Times New Roman"/>
                <w:color w:val="auto"/>
                <w:highlight w:val="none"/>
                <w:lang w:val="en-US" w:eastAsia="zh-CN"/>
              </w:rPr>
              <w:t>冬季伸缩式喷漆房为维持适宜的晾干温度，在伸缩式喷漆房内设置电加热装置</w:t>
            </w:r>
            <w:r>
              <w:rPr>
                <w:rFonts w:hint="default" w:ascii="Times New Roman" w:hAnsi="Times New Roman" w:cs="Times New Roman"/>
                <w:color w:val="auto"/>
                <w:highlight w:val="none"/>
              </w:rPr>
              <w:t>。</w:t>
            </w:r>
          </w:p>
          <w:p>
            <w:pPr>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4、食宿</w:t>
            </w:r>
          </w:p>
          <w:p>
            <w:pPr>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本项目无食堂，无员工住宿，员工就餐采用配餐制。</w:t>
            </w:r>
          </w:p>
          <w:p>
            <w:pPr>
              <w:numPr>
                <w:ilvl w:val="0"/>
                <w:numId w:val="6"/>
              </w:numPr>
              <w:spacing w:line="360" w:lineRule="auto"/>
              <w:ind w:firstLine="482" w:firstLineChars="200"/>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通排风方式</w:t>
            </w:r>
          </w:p>
          <w:p>
            <w:pPr>
              <w:spacing w:line="360" w:lineRule="auto"/>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本项目车间通排风方式为自然通风。喷漆房通排风方式为上送风，下排风（水</w:t>
            </w:r>
          </w:p>
          <w:p>
            <w:pPr>
              <w:spacing w:line="360" w:lineRule="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帘柜后方排风口排风）。</w:t>
            </w:r>
          </w:p>
          <w:p>
            <w:pPr>
              <w:spacing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四、定员和工作制度</w:t>
            </w:r>
          </w:p>
          <w:p>
            <w:pPr>
              <w:spacing w:line="360" w:lineRule="auto"/>
              <w:ind w:firstLine="480"/>
              <w:rPr>
                <w:rFonts w:hint="eastAsia" w:cs="Times New Roman"/>
                <w:color w:val="auto"/>
                <w:highlight w:val="none"/>
                <w:lang w:val="en-US" w:eastAsia="zh-CN"/>
              </w:rPr>
            </w:pPr>
            <w:r>
              <w:rPr>
                <w:rFonts w:hint="default" w:ascii="Times New Roman" w:hAnsi="Times New Roman" w:cs="Times New Roman"/>
                <w:color w:val="auto"/>
                <w:highlight w:val="none"/>
              </w:rPr>
              <w:t>本项目劳动定员</w:t>
            </w:r>
            <w:r>
              <w:rPr>
                <w:rFonts w:hint="eastAsia" w:cs="Times New Roman"/>
                <w:color w:val="auto"/>
                <w:highlight w:val="none"/>
                <w:lang w:val="en-US" w:eastAsia="zh-CN"/>
              </w:rPr>
              <w:t>60</w:t>
            </w:r>
            <w:r>
              <w:rPr>
                <w:rFonts w:hint="default" w:ascii="Times New Roman" w:hAnsi="Times New Roman" w:cs="Times New Roman"/>
                <w:color w:val="auto"/>
                <w:highlight w:val="none"/>
              </w:rPr>
              <w:t>人，</w:t>
            </w:r>
            <w:r>
              <w:rPr>
                <w:rFonts w:hint="eastAsia" w:cs="Times New Roman"/>
                <w:color w:val="auto"/>
                <w:highlight w:val="none"/>
                <w:lang w:val="en-US" w:eastAsia="zh-CN"/>
              </w:rPr>
              <w:t>本项目机加工、火焰切割、焊接、打磨、抛丸</w:t>
            </w:r>
            <w:r>
              <w:rPr>
                <w:rFonts w:hint="default" w:ascii="Times New Roman" w:hAnsi="Times New Roman" w:cs="Times New Roman"/>
                <w:color w:val="auto"/>
                <w:highlight w:val="none"/>
              </w:rPr>
              <w:t>工序生产实行1班制，每班8小时，</w:t>
            </w:r>
            <w:r>
              <w:rPr>
                <w:rFonts w:hint="eastAsia" w:cs="Times New Roman"/>
                <w:color w:val="auto"/>
                <w:highlight w:val="none"/>
                <w:lang w:val="en-US" w:eastAsia="zh-CN"/>
              </w:rPr>
              <w:t>实际产污时间约为6h/d，</w:t>
            </w:r>
            <w:r>
              <w:rPr>
                <w:rFonts w:ascii="Times New Roman" w:hAnsi="Times New Roman" w:cs="Times New Roman"/>
                <w:color w:val="auto"/>
                <w:sz w:val="24"/>
                <w:highlight w:val="none"/>
              </w:rPr>
              <w:t>全年工作300天</w:t>
            </w:r>
            <w:r>
              <w:rPr>
                <w:rFonts w:hint="eastAsia" w:ascii="Times New Roman" w:hAnsi="Times New Roman" w:cs="Times New Roman"/>
                <w:color w:val="auto"/>
                <w:sz w:val="24"/>
                <w:highlight w:val="none"/>
                <w:lang w:eastAsia="zh-CN"/>
              </w:rPr>
              <w:t>。</w:t>
            </w:r>
          </w:p>
          <w:p>
            <w:pPr>
              <w:spacing w:line="360" w:lineRule="auto"/>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项目调漆、喷漆、晾干工序实行每天3班，每班8小时。喷漆工序分为喷油性漆和喷水性漆，喷油性漆时间约为60d/a，喷水性漆时间约为240d/a。本项目产品均需配喷两遍漆，使用油性漆进行喷漆时调漆时间约为0.5h/d，喷底漆时间约为3h/d，底漆后晾干时间约为3h/d，喷面漆时间为3h/d，面漆晾干时间为10h/d。使用水性漆进行喷漆时调漆时间约为0.5h/d，喷底漆时间约为3h/d，底漆后晾干时间约为3h/d，喷面漆时间为3h/d，面漆晾干时间为5h/d。</w:t>
            </w:r>
            <w:r>
              <w:rPr>
                <w:rFonts w:hint="default" w:ascii="Times New Roman" w:hAnsi="Times New Roman" w:cs="Times New Roman"/>
                <w:color w:val="auto"/>
                <w:highlight w:val="none"/>
              </w:rPr>
              <w:t>喷漆后的晾干工序在</w:t>
            </w:r>
            <w:r>
              <w:rPr>
                <w:rFonts w:hint="eastAsia" w:ascii="Times New Roman" w:hAnsi="Times New Roman" w:cs="Times New Roman"/>
                <w:color w:val="auto"/>
                <w:sz w:val="24"/>
                <w:highlight w:val="none"/>
                <w:lang w:val="en-US" w:eastAsia="zh-CN"/>
              </w:rPr>
              <w:t>伸缩式喷漆房内</w:t>
            </w:r>
            <w:r>
              <w:rPr>
                <w:rFonts w:hint="default" w:ascii="Times New Roman" w:hAnsi="Times New Roman" w:cs="Times New Roman"/>
                <w:color w:val="auto"/>
                <w:highlight w:val="none"/>
              </w:rPr>
              <w:t>自行晾干，环保设施</w:t>
            </w:r>
            <w:r>
              <w:rPr>
                <w:rFonts w:hint="eastAsia" w:ascii="Times New Roman" w:hAnsi="Times New Roman" w:cs="Times New Roman"/>
                <w:color w:val="auto"/>
                <w:highlight w:val="none"/>
                <w:lang w:val="en-US" w:eastAsia="zh-CN"/>
              </w:rPr>
              <w:t>在调漆前开启并在晾干结束后关闭</w:t>
            </w:r>
            <w:r>
              <w:rPr>
                <w:rFonts w:hint="eastAsia" w:ascii="Times New Roman" w:hAnsi="Times New Roman" w:cs="Times New Roman"/>
                <w:color w:val="auto"/>
                <w:highlight w:val="none"/>
                <w:lang w:eastAsia="zh-CN"/>
              </w:rPr>
              <w:t>。</w:t>
            </w:r>
          </w:p>
          <w:p>
            <w:pPr>
              <w:spacing w:line="360" w:lineRule="auto"/>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highlight w:val="none"/>
              </w:rPr>
              <w:t>本项目主要生产工序及环保设施运行时间见下表。</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表2-8 本项目</w:t>
            </w:r>
            <w:r>
              <w:rPr>
                <w:rFonts w:hint="eastAsia" w:cs="Times New Roman"/>
                <w:b/>
                <w:bCs/>
                <w:color w:val="auto"/>
                <w:sz w:val="21"/>
                <w:szCs w:val="21"/>
                <w:highlight w:val="none"/>
                <w:lang w:val="en-US" w:eastAsia="zh-CN"/>
              </w:rPr>
              <w:t>产污工序</w:t>
            </w:r>
            <w:r>
              <w:rPr>
                <w:rFonts w:hint="default" w:ascii="Times New Roman" w:hAnsi="Times New Roman" w:cs="Times New Roman"/>
                <w:b/>
                <w:bCs/>
                <w:color w:val="auto"/>
                <w:sz w:val="21"/>
                <w:szCs w:val="21"/>
                <w:highlight w:val="none"/>
              </w:rPr>
              <w:t>工作时长</w:t>
            </w:r>
            <w:r>
              <w:rPr>
                <w:rFonts w:hint="eastAsia" w:cs="Times New Roman"/>
                <w:b/>
                <w:bCs/>
                <w:color w:val="auto"/>
                <w:sz w:val="21"/>
                <w:szCs w:val="21"/>
                <w:highlight w:val="none"/>
                <w:lang w:val="en-US" w:eastAsia="zh-CN"/>
              </w:rPr>
              <w:t>及环保设施</w:t>
            </w:r>
            <w:r>
              <w:rPr>
                <w:rFonts w:hint="default" w:ascii="Times New Roman" w:hAnsi="Times New Roman" w:cs="Times New Roman"/>
                <w:b/>
                <w:bCs/>
                <w:color w:val="auto"/>
                <w:sz w:val="21"/>
                <w:szCs w:val="21"/>
                <w:highlight w:val="none"/>
              </w:rPr>
              <w:t>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3170"/>
              <w:gridCol w:w="1679"/>
              <w:gridCol w:w="174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8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880"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生产工序</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环保设施</w:t>
                  </w:r>
                </w:p>
              </w:tc>
              <w:tc>
                <w:tcPr>
                  <w:tcW w:w="99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年工作时基数</w:t>
                  </w:r>
                </w:p>
              </w:tc>
              <w:tc>
                <w:tcPr>
                  <w:tcW w:w="1036"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每天工作时长</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8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880"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机加工</w:t>
                  </w:r>
                </w:p>
              </w:tc>
              <w:tc>
                <w:tcPr>
                  <w:tcW w:w="996"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1800</w:t>
                  </w:r>
                </w:p>
              </w:tc>
              <w:tc>
                <w:tcPr>
                  <w:tcW w:w="1036" w:type="pct"/>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8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880"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火焰切割</w:t>
                  </w:r>
                </w:p>
              </w:tc>
              <w:tc>
                <w:tcPr>
                  <w:tcW w:w="996" w:type="pct"/>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1800</w:t>
                  </w:r>
                </w:p>
              </w:tc>
              <w:tc>
                <w:tcPr>
                  <w:tcW w:w="1036" w:type="pct"/>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8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880"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焊接</w:t>
                  </w:r>
                </w:p>
              </w:tc>
              <w:tc>
                <w:tcPr>
                  <w:tcW w:w="996" w:type="pct"/>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1800</w:t>
                  </w:r>
                </w:p>
              </w:tc>
              <w:tc>
                <w:tcPr>
                  <w:tcW w:w="1036" w:type="pct"/>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880"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打磨</w:t>
                  </w:r>
                </w:p>
              </w:tc>
              <w:tc>
                <w:tcPr>
                  <w:tcW w:w="996" w:type="pct"/>
                  <w:vAlign w:val="center"/>
                </w:tcPr>
                <w:p>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600</w:t>
                  </w:r>
                </w:p>
              </w:tc>
              <w:tc>
                <w:tcPr>
                  <w:tcW w:w="1036" w:type="pct"/>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8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880"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抛丸</w:t>
                  </w:r>
                </w:p>
              </w:tc>
              <w:tc>
                <w:tcPr>
                  <w:tcW w:w="996" w:type="pct"/>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1800</w:t>
                  </w:r>
                </w:p>
              </w:tc>
              <w:tc>
                <w:tcPr>
                  <w:tcW w:w="1036" w:type="pct"/>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1880"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油性漆</w:t>
                  </w:r>
                  <w:r>
                    <w:rPr>
                      <w:rFonts w:hint="eastAsia" w:cs="Times New Roman"/>
                      <w:color w:val="auto"/>
                      <w:sz w:val="21"/>
                      <w:szCs w:val="21"/>
                      <w:highlight w:val="none"/>
                      <w:lang w:val="en-US" w:eastAsia="zh-CN"/>
                    </w:rPr>
                    <w:t>底漆</w:t>
                  </w:r>
                  <w:r>
                    <w:rPr>
                      <w:rFonts w:hint="default" w:ascii="Times New Roman" w:hAnsi="Times New Roman" w:eastAsia="宋体" w:cs="Times New Roman"/>
                      <w:color w:val="auto"/>
                      <w:sz w:val="21"/>
                      <w:szCs w:val="21"/>
                      <w:highlight w:val="none"/>
                      <w:lang w:val="en-US" w:eastAsia="zh-CN"/>
                    </w:rPr>
                    <w:t>调漆工序</w:t>
                  </w:r>
                </w:p>
              </w:tc>
              <w:tc>
                <w:tcPr>
                  <w:tcW w:w="996" w:type="pct"/>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036"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25</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1"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3170"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油性漆</w:t>
                  </w:r>
                  <w:r>
                    <w:rPr>
                      <w:rFonts w:hint="eastAsia" w:cs="Times New Roman"/>
                      <w:color w:val="auto"/>
                      <w:sz w:val="21"/>
                      <w:szCs w:val="21"/>
                      <w:highlight w:val="none"/>
                      <w:lang w:val="en-US" w:eastAsia="zh-CN"/>
                    </w:rPr>
                    <w:t>面漆</w:t>
                  </w:r>
                  <w:r>
                    <w:rPr>
                      <w:rFonts w:hint="default" w:ascii="Times New Roman" w:hAnsi="Times New Roman" w:eastAsia="宋体" w:cs="Times New Roman"/>
                      <w:color w:val="auto"/>
                      <w:sz w:val="21"/>
                      <w:szCs w:val="21"/>
                      <w:highlight w:val="none"/>
                      <w:lang w:val="en-US" w:eastAsia="zh-CN"/>
                    </w:rPr>
                    <w:t>调漆工序</w:t>
                  </w:r>
                </w:p>
              </w:tc>
              <w:tc>
                <w:tcPr>
                  <w:tcW w:w="1679" w:type="dxa"/>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747" w:type="dxa"/>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25</w:t>
                  </w:r>
                </w:p>
              </w:tc>
              <w:tc>
                <w:tcPr>
                  <w:tcW w:w="850"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1" w:type="dxa"/>
                  <w:vAlign w:val="center"/>
                </w:tcPr>
                <w:p>
                  <w:pPr>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8</w:t>
                  </w:r>
                </w:p>
              </w:tc>
              <w:tc>
                <w:tcPr>
                  <w:tcW w:w="1880" w:type="pct"/>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油性漆</w:t>
                  </w:r>
                  <w:r>
                    <w:rPr>
                      <w:rFonts w:hint="default" w:ascii="Times New Roman" w:hAnsi="Times New Roman" w:cs="Times New Roman"/>
                      <w:color w:val="auto"/>
                      <w:sz w:val="21"/>
                      <w:szCs w:val="21"/>
                      <w:highlight w:val="none"/>
                    </w:rPr>
                    <w:t>喷</w:t>
                  </w:r>
                  <w:r>
                    <w:rPr>
                      <w:rFonts w:hint="eastAsia" w:cs="Times New Roman"/>
                      <w:color w:val="auto"/>
                      <w:sz w:val="21"/>
                      <w:szCs w:val="21"/>
                      <w:highlight w:val="none"/>
                      <w:lang w:val="en-US" w:eastAsia="zh-CN"/>
                    </w:rPr>
                    <w:t>底</w:t>
                  </w:r>
                  <w:r>
                    <w:rPr>
                      <w:rFonts w:hint="default" w:ascii="Times New Roman" w:hAnsi="Times New Roman" w:cs="Times New Roman"/>
                      <w:color w:val="auto"/>
                      <w:sz w:val="21"/>
                      <w:szCs w:val="21"/>
                      <w:highlight w:val="none"/>
                    </w:rPr>
                    <w:t>漆工序</w:t>
                  </w:r>
                </w:p>
              </w:tc>
              <w:tc>
                <w:tcPr>
                  <w:tcW w:w="996" w:type="pct"/>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180</w:t>
                  </w:r>
                </w:p>
              </w:tc>
              <w:tc>
                <w:tcPr>
                  <w:tcW w:w="1036"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1" w:type="dxa"/>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w:t>
                  </w:r>
                </w:p>
              </w:tc>
              <w:tc>
                <w:tcPr>
                  <w:tcW w:w="1880"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油性漆喷底漆后晾干工序</w:t>
                  </w:r>
                </w:p>
              </w:tc>
              <w:tc>
                <w:tcPr>
                  <w:tcW w:w="996"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180</w:t>
                  </w:r>
                </w:p>
              </w:tc>
              <w:tc>
                <w:tcPr>
                  <w:tcW w:w="1036"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1" w:type="dxa"/>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8</w:t>
                  </w:r>
                </w:p>
              </w:tc>
              <w:tc>
                <w:tcPr>
                  <w:tcW w:w="1880" w:type="pct"/>
                  <w:vAlign w:val="center"/>
                </w:tcPr>
                <w:p>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油性漆</w:t>
                  </w:r>
                  <w:r>
                    <w:rPr>
                      <w:rFonts w:hint="default" w:ascii="Times New Roman" w:hAnsi="Times New Roman" w:cs="Times New Roman"/>
                      <w:color w:val="auto"/>
                      <w:sz w:val="21"/>
                      <w:szCs w:val="21"/>
                      <w:highlight w:val="none"/>
                    </w:rPr>
                    <w:t>喷</w:t>
                  </w:r>
                  <w:r>
                    <w:rPr>
                      <w:rFonts w:hint="eastAsia" w:cs="Times New Roman"/>
                      <w:color w:val="auto"/>
                      <w:sz w:val="21"/>
                      <w:szCs w:val="21"/>
                      <w:highlight w:val="none"/>
                      <w:lang w:val="en-US" w:eastAsia="zh-CN"/>
                    </w:rPr>
                    <w:t>面漆</w:t>
                  </w:r>
                  <w:r>
                    <w:rPr>
                      <w:rFonts w:hint="default" w:ascii="Times New Roman" w:hAnsi="Times New Roman" w:cs="Times New Roman"/>
                      <w:color w:val="auto"/>
                      <w:sz w:val="21"/>
                      <w:szCs w:val="21"/>
                      <w:highlight w:val="none"/>
                    </w:rPr>
                    <w:t>工序</w:t>
                  </w:r>
                </w:p>
              </w:tc>
              <w:tc>
                <w:tcPr>
                  <w:tcW w:w="996"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180</w:t>
                  </w:r>
                </w:p>
              </w:tc>
              <w:tc>
                <w:tcPr>
                  <w:tcW w:w="1036"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1" w:type="dxa"/>
                  <w:vAlign w:val="center"/>
                </w:tcPr>
                <w:p>
                  <w:pPr>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w:t>
                  </w:r>
                </w:p>
              </w:tc>
              <w:tc>
                <w:tcPr>
                  <w:tcW w:w="1880"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油性漆</w:t>
                  </w:r>
                  <w:r>
                    <w:rPr>
                      <w:rFonts w:hint="eastAsia" w:cs="Times New Roman"/>
                      <w:color w:val="auto"/>
                      <w:sz w:val="21"/>
                      <w:szCs w:val="21"/>
                      <w:highlight w:val="none"/>
                      <w:lang w:val="en-US" w:eastAsia="zh-CN"/>
                    </w:rPr>
                    <w:t>喷面漆后</w:t>
                  </w:r>
                  <w:r>
                    <w:rPr>
                      <w:rFonts w:hint="default" w:ascii="Times New Roman" w:hAnsi="Times New Roman" w:cs="Times New Roman"/>
                      <w:color w:val="auto"/>
                      <w:sz w:val="21"/>
                      <w:szCs w:val="21"/>
                      <w:highlight w:val="none"/>
                    </w:rPr>
                    <w:t>晾干工序</w:t>
                  </w:r>
                </w:p>
              </w:tc>
              <w:tc>
                <w:tcPr>
                  <w:tcW w:w="996" w:type="pct"/>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600</w:t>
                  </w:r>
                </w:p>
              </w:tc>
              <w:tc>
                <w:tcPr>
                  <w:tcW w:w="1036"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1"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w:t>
                  </w:r>
                </w:p>
              </w:tc>
              <w:tc>
                <w:tcPr>
                  <w:tcW w:w="1880"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水帘+</w:t>
                  </w:r>
                  <w:r>
                    <w:rPr>
                      <w:rFonts w:hint="eastAsia" w:cs="Times New Roman"/>
                      <w:color w:val="auto"/>
                      <w:sz w:val="21"/>
                      <w:szCs w:val="21"/>
                      <w:highlight w:val="none"/>
                      <w:lang w:eastAsia="zh-CN"/>
                    </w:rPr>
                    <w:t>干式</w:t>
                  </w:r>
                  <w:r>
                    <w:rPr>
                      <w:rFonts w:hint="default" w:ascii="Times New Roman" w:hAnsi="Times New Roman" w:cs="Times New Roman"/>
                      <w:color w:val="auto"/>
                      <w:sz w:val="21"/>
                      <w:szCs w:val="21"/>
                      <w:highlight w:val="none"/>
                    </w:rPr>
                    <w:t>过滤</w:t>
                  </w:r>
                  <w:r>
                    <w:rPr>
                      <w:rFonts w:hint="eastAsia" w:ascii="Times New Roman" w:hAnsi="Times New Roman" w:cs="Times New Roman"/>
                      <w:color w:val="auto"/>
                      <w:sz w:val="21"/>
                      <w:szCs w:val="21"/>
                      <w:highlight w:val="none"/>
                      <w:lang w:val="en-US" w:eastAsia="zh-CN"/>
                    </w:rPr>
                    <w:t>棉</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活性炭吸附、脱附催化燃烧</w:t>
                  </w:r>
                  <w:r>
                    <w:rPr>
                      <w:rFonts w:hint="default" w:ascii="Times New Roman" w:hAnsi="Times New Roman" w:cs="Times New Roman"/>
                      <w:color w:val="auto"/>
                      <w:sz w:val="21"/>
                      <w:szCs w:val="21"/>
                      <w:highlight w:val="none"/>
                    </w:rPr>
                    <w:t>装置</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喷油性漆）</w:t>
                  </w:r>
                </w:p>
              </w:tc>
              <w:tc>
                <w:tcPr>
                  <w:tcW w:w="996"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1200</w:t>
                  </w:r>
                </w:p>
              </w:tc>
              <w:tc>
                <w:tcPr>
                  <w:tcW w:w="1036" w:type="pct"/>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1"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1880" w:type="pct"/>
                  <w:vAlign w:val="center"/>
                </w:tcPr>
                <w:p>
                  <w:pPr>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水</w:t>
                  </w:r>
                  <w:r>
                    <w:rPr>
                      <w:rFonts w:hint="default" w:ascii="Times New Roman" w:hAnsi="Times New Roman" w:cs="Times New Roman"/>
                      <w:color w:val="auto"/>
                      <w:sz w:val="21"/>
                      <w:szCs w:val="21"/>
                      <w:highlight w:val="none"/>
                    </w:rPr>
                    <w:t>性漆调漆工序</w:t>
                  </w:r>
                </w:p>
              </w:tc>
              <w:tc>
                <w:tcPr>
                  <w:tcW w:w="996"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1036" w:type="pct"/>
                  <w:vAlign w:val="center"/>
                </w:tcPr>
                <w:p>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1"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3</w:t>
                  </w:r>
                </w:p>
              </w:tc>
              <w:tc>
                <w:tcPr>
                  <w:tcW w:w="1880" w:type="pct"/>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水性漆</w:t>
                  </w:r>
                  <w:r>
                    <w:rPr>
                      <w:rFonts w:hint="default" w:ascii="Times New Roman" w:hAnsi="Times New Roman" w:cs="Times New Roman"/>
                      <w:color w:val="auto"/>
                      <w:sz w:val="21"/>
                      <w:szCs w:val="21"/>
                      <w:highlight w:val="none"/>
                    </w:rPr>
                    <w:t>喷</w:t>
                  </w:r>
                  <w:r>
                    <w:rPr>
                      <w:rFonts w:hint="eastAsia" w:cs="Times New Roman"/>
                      <w:color w:val="auto"/>
                      <w:sz w:val="21"/>
                      <w:szCs w:val="21"/>
                      <w:highlight w:val="none"/>
                      <w:lang w:val="en-US" w:eastAsia="zh-CN"/>
                    </w:rPr>
                    <w:t>底</w:t>
                  </w:r>
                  <w:r>
                    <w:rPr>
                      <w:rFonts w:hint="default" w:ascii="Times New Roman" w:hAnsi="Times New Roman" w:cs="Times New Roman"/>
                      <w:color w:val="auto"/>
                      <w:sz w:val="21"/>
                      <w:szCs w:val="21"/>
                      <w:highlight w:val="none"/>
                    </w:rPr>
                    <w:t>漆工序</w:t>
                  </w:r>
                </w:p>
              </w:tc>
              <w:tc>
                <w:tcPr>
                  <w:tcW w:w="996" w:type="pct"/>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720</w:t>
                  </w:r>
                </w:p>
              </w:tc>
              <w:tc>
                <w:tcPr>
                  <w:tcW w:w="1036"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1" w:type="dxa"/>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4</w:t>
                  </w:r>
                </w:p>
              </w:tc>
              <w:tc>
                <w:tcPr>
                  <w:tcW w:w="1880" w:type="pct"/>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水性漆喷底漆后晾干工序</w:t>
                  </w:r>
                </w:p>
              </w:tc>
              <w:tc>
                <w:tcPr>
                  <w:tcW w:w="996" w:type="pct"/>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720</w:t>
                  </w:r>
                </w:p>
              </w:tc>
              <w:tc>
                <w:tcPr>
                  <w:tcW w:w="1036"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1" w:type="dxa"/>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5</w:t>
                  </w:r>
                </w:p>
              </w:tc>
              <w:tc>
                <w:tcPr>
                  <w:tcW w:w="1880" w:type="pct"/>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水性漆</w:t>
                  </w:r>
                  <w:r>
                    <w:rPr>
                      <w:rFonts w:hint="default" w:ascii="Times New Roman" w:hAnsi="Times New Roman" w:cs="Times New Roman"/>
                      <w:color w:val="auto"/>
                      <w:sz w:val="21"/>
                      <w:szCs w:val="21"/>
                      <w:highlight w:val="none"/>
                    </w:rPr>
                    <w:t>喷</w:t>
                  </w:r>
                  <w:r>
                    <w:rPr>
                      <w:rFonts w:hint="eastAsia" w:ascii="Times New Roman" w:hAnsi="Times New Roman" w:cs="Times New Roman"/>
                      <w:color w:val="auto"/>
                      <w:sz w:val="21"/>
                      <w:szCs w:val="21"/>
                      <w:highlight w:val="none"/>
                      <w:lang w:val="en-US" w:eastAsia="zh-CN"/>
                    </w:rPr>
                    <w:t>面</w:t>
                  </w:r>
                  <w:r>
                    <w:rPr>
                      <w:rFonts w:hint="default" w:ascii="Times New Roman" w:hAnsi="Times New Roman" w:cs="Times New Roman"/>
                      <w:color w:val="auto"/>
                      <w:sz w:val="21"/>
                      <w:szCs w:val="21"/>
                      <w:highlight w:val="none"/>
                    </w:rPr>
                    <w:t>漆工序</w:t>
                  </w:r>
                </w:p>
              </w:tc>
              <w:tc>
                <w:tcPr>
                  <w:tcW w:w="996" w:type="pct"/>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720</w:t>
                  </w:r>
                </w:p>
              </w:tc>
              <w:tc>
                <w:tcPr>
                  <w:tcW w:w="1036"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1" w:type="dxa"/>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16</w:t>
                  </w:r>
                </w:p>
              </w:tc>
              <w:tc>
                <w:tcPr>
                  <w:tcW w:w="1880" w:type="pct"/>
                  <w:vAlign w:val="center"/>
                </w:tcPr>
                <w:p>
                  <w:pPr>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水</w:t>
                  </w:r>
                  <w:r>
                    <w:rPr>
                      <w:rFonts w:hint="default" w:ascii="Times New Roman" w:hAnsi="Times New Roman" w:cs="Times New Roman"/>
                      <w:color w:val="auto"/>
                      <w:sz w:val="21"/>
                      <w:szCs w:val="21"/>
                      <w:highlight w:val="none"/>
                    </w:rPr>
                    <w:t>性漆</w:t>
                  </w:r>
                  <w:r>
                    <w:rPr>
                      <w:rFonts w:hint="eastAsia" w:cs="Times New Roman"/>
                      <w:color w:val="auto"/>
                      <w:sz w:val="21"/>
                      <w:szCs w:val="21"/>
                      <w:highlight w:val="none"/>
                      <w:lang w:val="en-US" w:eastAsia="zh-CN"/>
                    </w:rPr>
                    <w:t>喷面漆后</w:t>
                  </w:r>
                  <w:r>
                    <w:rPr>
                      <w:rFonts w:hint="default" w:ascii="Times New Roman" w:hAnsi="Times New Roman" w:cs="Times New Roman"/>
                      <w:color w:val="auto"/>
                      <w:sz w:val="21"/>
                      <w:szCs w:val="21"/>
                      <w:highlight w:val="none"/>
                    </w:rPr>
                    <w:t>晾干工序</w:t>
                  </w:r>
                </w:p>
              </w:tc>
              <w:tc>
                <w:tcPr>
                  <w:tcW w:w="996" w:type="pct"/>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12</w:t>
                  </w:r>
                  <w:r>
                    <w:rPr>
                      <w:rFonts w:hint="eastAsia" w:ascii="Times New Roman" w:hAnsi="Times New Roman" w:cs="Times New Roman"/>
                      <w:color w:val="auto"/>
                      <w:sz w:val="21"/>
                      <w:szCs w:val="21"/>
                      <w:highlight w:val="none"/>
                      <w:lang w:val="en-US" w:eastAsia="zh-CN"/>
                    </w:rPr>
                    <w:t>00</w:t>
                  </w:r>
                </w:p>
              </w:tc>
              <w:tc>
                <w:tcPr>
                  <w:tcW w:w="1036"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81"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val="en-US" w:eastAsia="zh-CN"/>
                    </w:rPr>
                    <w:t>7</w:t>
                  </w:r>
                </w:p>
              </w:tc>
              <w:tc>
                <w:tcPr>
                  <w:tcW w:w="1880" w:type="pct"/>
                  <w:vAlign w:val="center"/>
                </w:tcPr>
                <w:p>
                  <w:pPr>
                    <w:jc w:val="center"/>
                    <w:rPr>
                      <w:rFonts w:hint="eastAsia"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水帘+</w:t>
                  </w:r>
                  <w:r>
                    <w:rPr>
                      <w:rFonts w:hint="eastAsia" w:cs="Times New Roman"/>
                      <w:color w:val="auto"/>
                      <w:sz w:val="21"/>
                      <w:szCs w:val="21"/>
                      <w:highlight w:val="none"/>
                      <w:lang w:eastAsia="zh-CN"/>
                    </w:rPr>
                    <w:t>干式</w:t>
                  </w:r>
                  <w:r>
                    <w:rPr>
                      <w:rFonts w:hint="default" w:ascii="Times New Roman" w:hAnsi="Times New Roman" w:cs="Times New Roman"/>
                      <w:color w:val="auto"/>
                      <w:sz w:val="21"/>
                      <w:szCs w:val="21"/>
                      <w:highlight w:val="none"/>
                    </w:rPr>
                    <w:t>过滤</w:t>
                  </w:r>
                  <w:r>
                    <w:rPr>
                      <w:rFonts w:hint="eastAsia" w:ascii="Times New Roman" w:hAnsi="Times New Roman" w:cs="Times New Roman"/>
                      <w:color w:val="auto"/>
                      <w:sz w:val="21"/>
                      <w:szCs w:val="21"/>
                      <w:highlight w:val="none"/>
                      <w:lang w:val="en-US" w:eastAsia="zh-CN"/>
                    </w:rPr>
                    <w:t>棉</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活性炭吸附、脱附催化燃烧</w:t>
                  </w:r>
                  <w:r>
                    <w:rPr>
                      <w:rFonts w:hint="default" w:ascii="Times New Roman" w:hAnsi="Times New Roman" w:cs="Times New Roman"/>
                      <w:color w:val="auto"/>
                      <w:sz w:val="21"/>
                      <w:szCs w:val="21"/>
                      <w:highlight w:val="none"/>
                    </w:rPr>
                    <w:t>装置</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喷水性漆）</w:t>
                  </w:r>
                </w:p>
              </w:tc>
              <w:tc>
                <w:tcPr>
                  <w:tcW w:w="996"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3600</w:t>
                  </w:r>
                </w:p>
              </w:tc>
              <w:tc>
                <w:tcPr>
                  <w:tcW w:w="1036" w:type="pct"/>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82"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val="en-US" w:eastAsia="zh-CN"/>
                    </w:rPr>
                    <w:t>8</w:t>
                  </w:r>
                </w:p>
              </w:tc>
              <w:tc>
                <w:tcPr>
                  <w:tcW w:w="1880"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1#—5#布袋除尘器</w:t>
                  </w:r>
                </w:p>
              </w:tc>
              <w:tc>
                <w:tcPr>
                  <w:tcW w:w="996" w:type="pct"/>
                  <w:vAlign w:val="center"/>
                </w:tcPr>
                <w:p>
                  <w:pPr>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1800</w:t>
                  </w:r>
                </w:p>
              </w:tc>
              <w:tc>
                <w:tcPr>
                  <w:tcW w:w="1036"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50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小时</w:t>
                  </w:r>
                </w:p>
              </w:tc>
            </w:tr>
          </w:tbl>
          <w:p>
            <w:pPr>
              <w:pStyle w:val="28"/>
              <w:ind w:left="480"/>
              <w:rPr>
                <w:rFonts w:hint="default" w:ascii="Times New Roman" w:hAnsi="Times New Roman" w:cs="Times New Roman"/>
                <w:b/>
                <w:bCs/>
                <w:color w:val="auto"/>
                <w:sz w:val="21"/>
                <w:szCs w:val="21"/>
                <w:highlight w:val="none"/>
              </w:rPr>
            </w:pPr>
          </w:p>
          <w:p>
            <w:pPr>
              <w:rPr>
                <w:rFonts w:hint="default" w:ascii="Times New Roman" w:hAnsi="Times New Roman" w:cs="Times New Roman"/>
                <w:b/>
                <w:bCs/>
                <w:color w:val="auto"/>
                <w:sz w:val="21"/>
                <w:szCs w:val="21"/>
                <w:highlight w:val="none"/>
              </w:rPr>
            </w:pPr>
          </w:p>
          <w:p>
            <w:pPr>
              <w:pStyle w:val="28"/>
              <w:rPr>
                <w:rFonts w:hint="default" w:ascii="Times New Roman" w:hAnsi="Times New Roman" w:cs="Times New Roman"/>
                <w:b/>
                <w:bCs/>
                <w:color w:val="auto"/>
                <w:sz w:val="21"/>
                <w:szCs w:val="21"/>
                <w:highlight w:val="none"/>
              </w:rPr>
            </w:pPr>
          </w:p>
          <w:p>
            <w:pPr>
              <w:rPr>
                <w:rFonts w:hint="default" w:ascii="Times New Roman" w:hAnsi="Times New Roman" w:cs="Times New Roman"/>
                <w:b/>
                <w:bCs/>
                <w:color w:val="auto"/>
                <w:sz w:val="21"/>
                <w:szCs w:val="21"/>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pStyle w:val="10"/>
              <w:ind w:left="0" w:leftChars="0"/>
              <w:rPr>
                <w:rFonts w:hint="default" w:ascii="Times New Roman" w:hAnsi="Times New Roman" w:cs="Times New Roman"/>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dxa"/>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工艺流程和产排污环节</w:t>
            </w:r>
          </w:p>
        </w:tc>
        <w:tc>
          <w:tcPr>
            <w:tcW w:w="8656" w:type="dxa"/>
          </w:tcPr>
          <w:p>
            <w:pPr>
              <w:adjustRightInd w:val="0"/>
              <w:snapToGrid w:val="0"/>
              <w:spacing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工艺流程简述（图示）：</w:t>
            </w:r>
          </w:p>
          <w:p>
            <w:pPr>
              <w:adjustRightInd w:val="0"/>
              <w:snapToGrid w:val="0"/>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一．施工期</w:t>
            </w:r>
          </w:p>
          <w:p>
            <w:pPr>
              <w:spacing w:line="360" w:lineRule="auto"/>
              <w:ind w:firstLine="480" w:firstLineChars="200"/>
              <w:rPr>
                <w:rFonts w:hint="default" w:ascii="Times New Roman" w:hAnsi="Times New Roman" w:cs="Times New Roman"/>
                <w:color w:val="auto"/>
                <w:kern w:val="24"/>
                <w:highlight w:val="none"/>
              </w:rPr>
            </w:pPr>
            <w:r>
              <w:rPr>
                <w:rFonts w:hint="default" w:ascii="Times New Roman" w:hAnsi="Times New Roman" w:cs="Times New Roman"/>
                <w:color w:val="auto"/>
                <w:kern w:val="24"/>
                <w:highlight w:val="none"/>
              </w:rPr>
              <w:t>本项目利用现有厂房，在厂房内进行简单的改造和设备安装。施工期主要进行内部的分区设置，设备设施的安装，集排风系统安装等。施工期无土建施工，同时施工作业主要在室内进行，基本无扬尘产生。</w:t>
            </w:r>
          </w:p>
          <w:p>
            <w:pPr>
              <w:pStyle w:val="23"/>
              <w:ind w:left="297" w:leftChars="41" w:hanging="199" w:hangingChars="83"/>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object>
                <v:shape id="_x0000_i1025" o:spt="75" type="#_x0000_t75" style="height:88.75pt;width:356.35pt;" o:ole="t" filled="f" o:preferrelative="t" stroked="f" coordsize="21600,21600">
                  <v:path/>
                  <v:fill on="f" focussize="0,0"/>
                  <v:stroke on="f" joinstyle="miter"/>
                  <v:imagedata r:id="rId8" o:title=""/>
                  <o:lock v:ext="edit" aspectratio="t"/>
                  <w10:wrap type="none"/>
                  <w10:anchorlock/>
                </v:shape>
                <o:OLEObject Type="Embed" ProgID="Visio.Drawing.11" ShapeID="_x0000_i1025" DrawAspect="Content" ObjectID="_1468075725" r:id="rId7">
                  <o:LockedField>false</o:LockedField>
                </o:OLEObject>
              </w:object>
            </w:r>
          </w:p>
          <w:p>
            <w:pPr>
              <w:jc w:val="center"/>
              <w:rPr>
                <w:rFonts w:hint="default" w:ascii="Times New Roman" w:hAnsi="Times New Roman" w:cs="Times New Roman"/>
                <w:b/>
                <w:bCs/>
                <w:color w:val="auto"/>
                <w:sz w:val="21"/>
                <w:szCs w:val="16"/>
                <w:highlight w:val="none"/>
              </w:rPr>
            </w:pPr>
          </w:p>
          <w:p>
            <w:pPr>
              <w:spacing w:line="360" w:lineRule="auto"/>
              <w:jc w:val="center"/>
              <w:rPr>
                <w:rFonts w:hint="default" w:ascii="Times New Roman" w:hAnsi="Times New Roman" w:cs="Times New Roman"/>
                <w:b/>
                <w:bCs/>
                <w:color w:val="auto"/>
                <w:sz w:val="21"/>
                <w:szCs w:val="16"/>
                <w:highlight w:val="none"/>
              </w:rPr>
            </w:pPr>
            <w:r>
              <w:rPr>
                <w:rFonts w:hint="default" w:ascii="Times New Roman" w:hAnsi="Times New Roman" w:cs="Times New Roman"/>
                <w:b/>
                <w:bCs/>
                <w:color w:val="auto"/>
                <w:sz w:val="21"/>
                <w:szCs w:val="16"/>
                <w:highlight w:val="none"/>
              </w:rPr>
              <w:t>图2-2  施工期工艺流程及污染产生环节</w:t>
            </w:r>
          </w:p>
          <w:p>
            <w:pPr>
              <w:spacing w:line="360" w:lineRule="auto"/>
              <w:ind w:firstLine="480" w:firstLineChars="200"/>
              <w:rPr>
                <w:rFonts w:hint="default" w:ascii="Times New Roman" w:hAnsi="Times New Roman" w:cs="Times New Roman"/>
                <w:color w:val="auto"/>
                <w:kern w:val="24"/>
                <w:highlight w:val="none"/>
              </w:rPr>
            </w:pPr>
            <w:r>
              <w:rPr>
                <w:rFonts w:hint="default" w:ascii="Times New Roman" w:hAnsi="Times New Roman" w:cs="Times New Roman"/>
                <w:color w:val="auto"/>
                <w:kern w:val="24"/>
                <w:highlight w:val="none"/>
              </w:rPr>
              <w:t>生产车间工艺流程说明：</w:t>
            </w:r>
          </w:p>
          <w:p>
            <w:pPr>
              <w:spacing w:line="360" w:lineRule="auto"/>
              <w:ind w:firstLine="480" w:firstLineChars="200"/>
              <w:rPr>
                <w:rFonts w:hint="default" w:ascii="Times New Roman" w:hAnsi="Times New Roman" w:cs="Times New Roman"/>
                <w:color w:val="auto"/>
                <w:kern w:val="24"/>
                <w:highlight w:val="none"/>
              </w:rPr>
            </w:pPr>
            <w:r>
              <w:rPr>
                <w:rFonts w:hint="default" w:ascii="Times New Roman" w:hAnsi="Times New Roman" w:cs="Times New Roman"/>
                <w:color w:val="auto"/>
                <w:kern w:val="24"/>
                <w:highlight w:val="none"/>
              </w:rPr>
              <w:t>内部改造及装修阶段：对车间内部按照生产需要进行内部改造及装修；</w:t>
            </w:r>
          </w:p>
          <w:p>
            <w:pPr>
              <w:spacing w:line="360" w:lineRule="auto"/>
              <w:ind w:firstLine="480" w:firstLineChars="200"/>
              <w:rPr>
                <w:rFonts w:hint="default" w:ascii="Times New Roman" w:hAnsi="Times New Roman" w:cs="Times New Roman"/>
                <w:color w:val="auto"/>
                <w:kern w:val="24"/>
                <w:highlight w:val="none"/>
              </w:rPr>
            </w:pPr>
            <w:r>
              <w:rPr>
                <w:rFonts w:hint="default" w:ascii="Times New Roman" w:hAnsi="Times New Roman" w:cs="Times New Roman"/>
                <w:color w:val="auto"/>
                <w:kern w:val="24"/>
                <w:highlight w:val="none"/>
              </w:rPr>
              <w:t>设备安装阶段：对生产设备进行安装及调试；</w:t>
            </w:r>
          </w:p>
          <w:p>
            <w:pPr>
              <w:spacing w:line="360" w:lineRule="auto"/>
              <w:ind w:firstLine="480" w:firstLineChars="200"/>
              <w:rPr>
                <w:rFonts w:hint="default" w:ascii="Times New Roman" w:hAnsi="Times New Roman" w:cs="Times New Roman"/>
                <w:color w:val="auto"/>
                <w:kern w:val="24"/>
                <w:highlight w:val="none"/>
              </w:rPr>
            </w:pPr>
            <w:r>
              <w:rPr>
                <w:rFonts w:hint="default" w:ascii="Times New Roman" w:hAnsi="Times New Roman" w:cs="Times New Roman"/>
                <w:color w:val="auto"/>
                <w:kern w:val="24"/>
                <w:highlight w:val="none"/>
              </w:rPr>
              <w:t>工程验收阶段：对生产线进行投产前的验收，验收合格后投入使用。</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因此，在施工装修过程中产生的污染主要为噪声、装修固体废物等。</w:t>
            </w:r>
          </w:p>
          <w:p>
            <w:pPr>
              <w:spacing w:line="360" w:lineRule="auto"/>
              <w:ind w:firstLine="480" w:firstLineChars="200"/>
              <w:rPr>
                <w:rFonts w:hint="default" w:ascii="Times New Roman" w:hAnsi="Times New Roman" w:cs="Times New Roman"/>
                <w:color w:val="auto"/>
                <w:kern w:val="24"/>
                <w:highlight w:val="none"/>
              </w:rPr>
            </w:pPr>
            <w:r>
              <w:rPr>
                <w:rFonts w:hint="default" w:ascii="Times New Roman" w:hAnsi="Times New Roman" w:cs="Times New Roman"/>
                <w:color w:val="auto"/>
                <w:kern w:val="24"/>
                <w:highlight w:val="none"/>
              </w:rPr>
              <w:t>施工期较短，施工阶段不设施工营地。施工期主要污染为施工人员生活污水、装修改造、设备安装过程中产生的噪声、装修固体废物等。施工期较短，工程量不大，施工期对周围环境的影响较小。</w:t>
            </w:r>
          </w:p>
          <w:p>
            <w:pPr>
              <w:adjustRightInd w:val="0"/>
              <w:snapToGrid w:val="0"/>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二．运营期</w:t>
            </w:r>
          </w:p>
          <w:p>
            <w:pPr>
              <w:spacing w:line="360" w:lineRule="auto"/>
              <w:ind w:firstLine="480" w:firstLineChars="200"/>
              <w:jc w:val="left"/>
              <w:rPr>
                <w:rFonts w:hint="default" w:ascii="Times New Roman" w:hAnsi="Times New Roman" w:cs="Times New Roman"/>
                <w:color w:val="auto"/>
                <w:kern w:val="24"/>
                <w:highlight w:val="none"/>
              </w:rPr>
            </w:pPr>
            <w:r>
              <w:rPr>
                <w:rFonts w:hint="default" w:ascii="Times New Roman" w:hAnsi="Times New Roman" w:cs="Times New Roman"/>
                <w:color w:val="auto"/>
                <w:kern w:val="24"/>
                <w:highlight w:val="none"/>
              </w:rPr>
              <w:t>本项目</w:t>
            </w:r>
            <w:r>
              <w:rPr>
                <w:rFonts w:hint="eastAsia" w:cs="Times New Roman"/>
                <w:color w:val="auto"/>
                <w:highlight w:val="none"/>
                <w:lang w:val="en-US" w:eastAsia="zh-CN"/>
              </w:rPr>
              <w:t>年</w:t>
            </w:r>
            <w:r>
              <w:rPr>
                <w:rFonts w:hint="default" w:ascii="Times New Roman" w:hAnsi="Times New Roman" w:cs="Times New Roman"/>
                <w:color w:val="auto"/>
                <w:highlight w:val="none"/>
              </w:rPr>
              <w:t>产钢垫板2000吨，年产钢</w:t>
            </w:r>
            <w:r>
              <w:rPr>
                <w:rFonts w:hint="eastAsia" w:cs="Times New Roman"/>
                <w:color w:val="auto"/>
                <w:highlight w:val="none"/>
                <w:lang w:val="en-US" w:eastAsia="zh-CN"/>
              </w:rPr>
              <w:t>结</w:t>
            </w:r>
            <w:r>
              <w:rPr>
                <w:rFonts w:hint="default" w:ascii="Times New Roman" w:hAnsi="Times New Roman" w:cs="Times New Roman"/>
                <w:color w:val="auto"/>
                <w:highlight w:val="none"/>
              </w:rPr>
              <w:t>构3000吨</w:t>
            </w:r>
            <w:r>
              <w:rPr>
                <w:rFonts w:hint="default" w:ascii="Times New Roman" w:hAnsi="Times New Roman" w:cs="Times New Roman"/>
                <w:color w:val="auto"/>
                <w:kern w:val="24"/>
                <w:highlight w:val="none"/>
              </w:rPr>
              <w:t>，主要生产工序包括</w:t>
            </w:r>
            <w:r>
              <w:rPr>
                <w:rFonts w:hint="eastAsia" w:cs="Times New Roman"/>
                <w:color w:val="auto"/>
                <w:kern w:val="24"/>
                <w:highlight w:val="none"/>
                <w:lang w:val="en-US" w:eastAsia="zh-CN"/>
              </w:rPr>
              <w:t>下料打孔、组立、焊接、矫正、打磨、抛丸、喷漆、晾干、检验</w:t>
            </w:r>
            <w:r>
              <w:rPr>
                <w:rFonts w:hint="default" w:ascii="Times New Roman" w:hAnsi="Times New Roman" w:cs="Times New Roman"/>
                <w:color w:val="auto"/>
                <w:kern w:val="24"/>
                <w:highlight w:val="none"/>
              </w:rPr>
              <w:t>等。</w:t>
            </w:r>
          </w:p>
          <w:p>
            <w:pPr>
              <w:spacing w:line="360" w:lineRule="auto"/>
              <w:ind w:firstLine="480" w:firstLineChars="200"/>
              <w:rPr>
                <w:rFonts w:hint="default" w:ascii="Times New Roman" w:hAnsi="Times New Roman" w:cs="Times New Roman"/>
                <w:color w:val="auto"/>
                <w:kern w:val="24"/>
                <w:highlight w:val="none"/>
              </w:rPr>
            </w:pPr>
            <w:r>
              <w:rPr>
                <w:rFonts w:hint="eastAsia" w:ascii="Times New Roman" w:hAnsi="Times New Roman" w:cs="Times New Roman"/>
                <w:color w:val="auto"/>
                <w:highlight w:val="none"/>
                <w:lang w:val="en-US" w:eastAsia="zh-CN"/>
              </w:rPr>
              <w:t>本项目</w:t>
            </w:r>
            <w:r>
              <w:rPr>
                <w:rFonts w:hint="default" w:ascii="Times New Roman" w:hAnsi="Times New Roman" w:cs="Times New Roman"/>
                <w:color w:val="auto"/>
                <w:highlight w:val="none"/>
              </w:rPr>
              <w:t>钢垫板</w:t>
            </w:r>
            <w:r>
              <w:rPr>
                <w:rFonts w:hint="eastAsia" w:ascii="Times New Roman" w:hAnsi="Times New Roman" w:cs="Times New Roman"/>
                <w:color w:val="auto"/>
                <w:highlight w:val="none"/>
                <w:lang w:val="en-US" w:eastAsia="zh-CN"/>
              </w:rPr>
              <w:t>和</w:t>
            </w:r>
            <w:r>
              <w:rPr>
                <w:rFonts w:hint="default" w:ascii="Times New Roman" w:hAnsi="Times New Roman" w:cs="Times New Roman"/>
                <w:color w:val="auto"/>
                <w:highlight w:val="none"/>
              </w:rPr>
              <w:t>钢</w:t>
            </w:r>
            <w:r>
              <w:rPr>
                <w:rFonts w:hint="eastAsia" w:cs="Times New Roman"/>
                <w:color w:val="auto"/>
                <w:highlight w:val="none"/>
                <w:lang w:val="en-US" w:eastAsia="zh-CN"/>
              </w:rPr>
              <w:t>结</w:t>
            </w:r>
            <w:r>
              <w:rPr>
                <w:rFonts w:hint="default" w:ascii="Times New Roman" w:hAnsi="Times New Roman" w:cs="Times New Roman"/>
                <w:color w:val="auto"/>
                <w:highlight w:val="none"/>
              </w:rPr>
              <w:t>构</w:t>
            </w:r>
            <w:r>
              <w:rPr>
                <w:rFonts w:hint="default" w:ascii="Times New Roman" w:hAnsi="Times New Roman" w:cs="Times New Roman"/>
                <w:color w:val="auto"/>
                <w:kern w:val="24"/>
                <w:highlight w:val="none"/>
              </w:rPr>
              <w:t>生产工艺流程及产污环节</w:t>
            </w:r>
            <w:r>
              <w:rPr>
                <w:rFonts w:hint="eastAsia" w:cs="Times New Roman"/>
                <w:color w:val="auto"/>
                <w:kern w:val="24"/>
                <w:highlight w:val="none"/>
                <w:lang w:val="en-US" w:eastAsia="zh-CN"/>
              </w:rPr>
              <w:t>相同</w:t>
            </w:r>
            <w:r>
              <w:rPr>
                <w:rFonts w:hint="default" w:ascii="Times New Roman" w:hAnsi="Times New Roman" w:cs="Times New Roman"/>
                <w:color w:val="auto"/>
                <w:kern w:val="24"/>
                <w:highlight w:val="none"/>
              </w:rPr>
              <w:t>，见图2-3。</w:t>
            </w:r>
          </w:p>
          <w:p>
            <w:pPr>
              <w:pStyle w:val="92"/>
              <w:ind w:firstLine="0" w:firstLineChars="0"/>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drawing>
                <wp:inline distT="0" distB="0" distL="114300" distR="114300">
                  <wp:extent cx="5393690" cy="1158875"/>
                  <wp:effectExtent l="0" t="0" r="1270" b="14605"/>
                  <wp:docPr id="40" name="图片 40" descr="165891044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58910444867"/>
                          <pic:cNvPicPr>
                            <a:picLocks noChangeAspect="1"/>
                          </pic:cNvPicPr>
                        </pic:nvPicPr>
                        <pic:blipFill>
                          <a:blip r:embed="rId9"/>
                          <a:stretch>
                            <a:fillRect/>
                          </a:stretch>
                        </pic:blipFill>
                        <pic:spPr>
                          <a:xfrm>
                            <a:off x="0" y="0"/>
                            <a:ext cx="5393690" cy="1158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G1</w:t>
            </w:r>
            <w:r>
              <w:rPr>
                <w:rFonts w:hint="eastAsia" w:cs="Times New Roman"/>
                <w:color w:val="auto"/>
                <w:sz w:val="21"/>
                <w:szCs w:val="21"/>
                <w:highlight w:val="none"/>
                <w:lang w:eastAsia="zh-CN"/>
              </w:rPr>
              <w:t>：</w:t>
            </w:r>
            <w:r>
              <w:rPr>
                <w:rFonts w:ascii="Times New Roman" w:hAnsi="Times New Roman" w:cs="Times New Roman"/>
                <w:color w:val="auto"/>
                <w:sz w:val="21"/>
                <w:szCs w:val="21"/>
                <w:highlight w:val="none"/>
              </w:rPr>
              <w:t>颗粒物；G2：有机废气；G3：异味；G4：漆雾（染色尘）；N：噪声；S1：边角料；S2：废切削液；S3：废焊材；S4：废金属屑；S5：废钢砂；S6：沾染布及手套；S7：废地毡；S8：废活性炭；S9：废过滤棉：S10：废催化剂（主要成分陶瓷、铂、钯）；S11：</w:t>
            </w:r>
            <w:r>
              <w:rPr>
                <w:rFonts w:hint="eastAsia" w:ascii="Times New Roman" w:hAnsi="Times New Roman" w:cs="Times New Roman"/>
                <w:color w:val="auto"/>
                <w:sz w:val="21"/>
                <w:szCs w:val="21"/>
                <w:highlight w:val="none"/>
              </w:rPr>
              <w:t>废漆料桶</w:t>
            </w:r>
            <w:r>
              <w:rPr>
                <w:rFonts w:ascii="Times New Roman" w:hAnsi="Times New Roman" w:cs="Times New Roman"/>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S16：废漆渣</w:t>
            </w:r>
          </w:p>
          <w:p>
            <w:pPr>
              <w:adjustRightInd w:val="0"/>
              <w:snapToGrid w:val="0"/>
              <w:spacing w:line="360" w:lineRule="auto"/>
              <w:jc w:val="center"/>
              <w:rPr>
                <w:rFonts w:ascii="Times New Roman" w:hAnsi="Times New Roman" w:cs="Times New Roman"/>
                <w:color w:val="auto"/>
                <w:szCs w:val="21"/>
                <w:highlight w:val="none"/>
              </w:rPr>
            </w:pPr>
            <w:r>
              <w:rPr>
                <w:rFonts w:hint="default" w:ascii="Times New Roman" w:hAnsi="Times New Roman" w:cs="Times New Roman"/>
                <w:b/>
                <w:bCs/>
                <w:color w:val="auto"/>
                <w:kern w:val="24"/>
                <w:sz w:val="21"/>
                <w:szCs w:val="22"/>
                <w:highlight w:val="none"/>
              </w:rPr>
              <w:t>图2-3 生产工艺流程及产污节点图</w:t>
            </w:r>
          </w:p>
          <w:p>
            <w:pPr>
              <w:pStyle w:val="67"/>
              <w:snapToGrid w:val="0"/>
              <w:spacing w:line="360" w:lineRule="auto"/>
              <w:ind w:firstLine="0"/>
              <w:rPr>
                <w:rFonts w:ascii="Times New Roman" w:hAnsi="Times New Roman" w:cs="Times New Roman"/>
                <w:color w:val="auto"/>
                <w:highlight w:val="none"/>
              </w:rPr>
            </w:pPr>
            <w:r>
              <w:rPr>
                <w:rFonts w:ascii="Times New Roman" w:hAnsi="Times New Roman" w:cs="Times New Roman"/>
                <w:color w:val="auto"/>
                <w:highlight w:val="none"/>
              </w:rPr>
              <w:t>工艺流程简述：</w:t>
            </w:r>
          </w:p>
          <w:p>
            <w:pPr>
              <w:pStyle w:val="67"/>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（1）下料打孔</w:t>
            </w:r>
          </w:p>
          <w:p>
            <w:pPr>
              <w:pStyle w:val="67"/>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采用</w:t>
            </w:r>
            <w:r>
              <w:rPr>
                <w:rFonts w:hint="eastAsia" w:ascii="Times New Roman" w:hAnsi="Times New Roman" w:cs="Times New Roman"/>
                <w:color w:val="auto"/>
                <w:highlight w:val="none"/>
                <w:lang w:val="en-US" w:eastAsia="zh-CN"/>
              </w:rPr>
              <w:t>火焰</w:t>
            </w:r>
            <w:r>
              <w:rPr>
                <w:rFonts w:ascii="Times New Roman" w:hAnsi="Times New Roman" w:cs="Times New Roman"/>
                <w:color w:val="auto"/>
                <w:highlight w:val="none"/>
              </w:rPr>
              <w:t>切割机将原材料锯切成所需要的长度，并使用钻床打好翼缘及腹板上的螺栓孔，切割下料工序会产生颗粒物G1，</w:t>
            </w:r>
            <w:r>
              <w:rPr>
                <w:rFonts w:hint="eastAsia" w:cs="Times New Roman"/>
                <w:color w:val="auto"/>
                <w:highlight w:val="none"/>
                <w:lang w:eastAsia="zh-CN"/>
              </w:rPr>
              <w:t>火焰</w:t>
            </w:r>
            <w:r>
              <w:rPr>
                <w:rFonts w:hint="eastAsia" w:ascii="Times New Roman" w:hAnsi="Times New Roman" w:cs="Times New Roman"/>
                <w:color w:val="auto"/>
                <w:highlight w:val="none"/>
              </w:rPr>
              <w:t>切割机产生的颗粒物经切割枪头处可移动集气罩收集</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收集效率按70%计，收集后的颗粒物经</w:t>
            </w:r>
            <w:r>
              <w:rPr>
                <w:rFonts w:hint="eastAsia" w:ascii="Times New Roman" w:hAnsi="Times New Roman" w:cs="Times New Roman"/>
                <w:color w:val="auto"/>
                <w:highlight w:val="none"/>
                <w:lang w:val="en-US" w:eastAsia="zh-CN"/>
              </w:rPr>
              <w:t>布袋</w:t>
            </w:r>
            <w:r>
              <w:rPr>
                <w:rFonts w:ascii="Times New Roman" w:hAnsi="Times New Roman" w:cs="Times New Roman"/>
                <w:color w:val="auto"/>
                <w:highlight w:val="none"/>
              </w:rPr>
              <w:t>除尘器进行处理，处理效率为95%，然后通过</w:t>
            </w:r>
            <w:r>
              <w:rPr>
                <w:rFonts w:hint="eastAsia" w:ascii="Times New Roman" w:hAnsi="Times New Roman" w:cs="Times New Roman"/>
                <w:color w:val="auto"/>
                <w:highlight w:val="none"/>
                <w:lang w:val="en-US" w:eastAsia="zh-CN"/>
              </w:rPr>
              <w:t>18</w:t>
            </w:r>
            <w:r>
              <w:rPr>
                <w:rFonts w:ascii="Times New Roman" w:hAnsi="Times New Roman" w:cs="Times New Roman"/>
                <w:color w:val="auto"/>
                <w:highlight w:val="none"/>
              </w:rPr>
              <w:t>m高排气筒外排，该工序会产生设备噪声N、废边角料S1。</w:t>
            </w:r>
          </w:p>
          <w:p>
            <w:pPr>
              <w:pStyle w:val="67"/>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w:t>
            </w:r>
            <w:r>
              <w:rPr>
                <w:rFonts w:hint="eastAsia" w:ascii="Times New Roman" w:hAnsi="Times New Roman" w:cs="Times New Roman"/>
                <w:color w:val="auto"/>
                <w:highlight w:val="none"/>
                <w:lang w:val="en-US" w:eastAsia="zh-CN"/>
              </w:rPr>
              <w:t>2</w:t>
            </w:r>
            <w:r>
              <w:rPr>
                <w:rFonts w:ascii="Times New Roman" w:hAnsi="Times New Roman" w:cs="Times New Roman"/>
                <w:color w:val="auto"/>
                <w:highlight w:val="none"/>
              </w:rPr>
              <w:t>）组装（组立、焊接、矫正）</w:t>
            </w:r>
          </w:p>
          <w:p>
            <w:pPr>
              <w:pStyle w:val="67"/>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使用组立机将成型的零部件组装到</w:t>
            </w:r>
            <w:r>
              <w:rPr>
                <w:rFonts w:hint="eastAsia" w:ascii="Times New Roman" w:hAnsi="Times New Roman" w:cs="Times New Roman"/>
                <w:color w:val="auto"/>
                <w:highlight w:val="none"/>
                <w:lang w:val="en-US" w:eastAsia="zh-CN"/>
              </w:rPr>
              <w:t>型钢</w:t>
            </w:r>
            <w:r>
              <w:rPr>
                <w:rFonts w:ascii="Times New Roman" w:hAnsi="Times New Roman" w:cs="Times New Roman"/>
                <w:color w:val="auto"/>
                <w:highlight w:val="none"/>
              </w:rPr>
              <w:t>上，根据组装部位情况，需进行焊接处理，焊接过程会产生颗粒物G1、设备噪声N。焊接烟尘经万向集气</w:t>
            </w:r>
            <w:r>
              <w:rPr>
                <w:rFonts w:hint="eastAsia" w:ascii="Times New Roman" w:hAnsi="Times New Roman" w:cs="Times New Roman"/>
                <w:color w:val="auto"/>
                <w:highlight w:val="none"/>
                <w:lang w:val="en-US" w:eastAsia="zh-CN"/>
              </w:rPr>
              <w:t>罩</w:t>
            </w:r>
            <w:r>
              <w:rPr>
                <w:rFonts w:ascii="Times New Roman" w:hAnsi="Times New Roman" w:cs="Times New Roman"/>
                <w:color w:val="auto"/>
                <w:highlight w:val="none"/>
              </w:rPr>
              <w:t>进行收集，收集效率按70%计，收集后的颗粒物经</w:t>
            </w:r>
            <w:r>
              <w:rPr>
                <w:rFonts w:hint="eastAsia" w:ascii="Times New Roman" w:hAnsi="Times New Roman" w:cs="Times New Roman"/>
                <w:color w:val="auto"/>
                <w:highlight w:val="none"/>
                <w:lang w:val="en-US" w:eastAsia="zh-CN"/>
              </w:rPr>
              <w:t>布袋</w:t>
            </w:r>
            <w:r>
              <w:rPr>
                <w:rFonts w:ascii="Times New Roman" w:hAnsi="Times New Roman" w:cs="Times New Roman"/>
                <w:color w:val="auto"/>
                <w:highlight w:val="none"/>
              </w:rPr>
              <w:t>除尘器进行处理，处理效率为95%，然后通过</w:t>
            </w:r>
            <w:r>
              <w:rPr>
                <w:rFonts w:hint="eastAsia" w:ascii="Times New Roman" w:hAnsi="Times New Roman" w:cs="Times New Roman"/>
                <w:color w:val="auto"/>
                <w:highlight w:val="none"/>
                <w:lang w:val="en-US" w:eastAsia="zh-CN"/>
              </w:rPr>
              <w:t>18</w:t>
            </w:r>
            <w:r>
              <w:rPr>
                <w:rFonts w:ascii="Times New Roman" w:hAnsi="Times New Roman" w:cs="Times New Roman"/>
                <w:color w:val="auto"/>
                <w:highlight w:val="none"/>
              </w:rPr>
              <w:t>m高排气筒外排。焊接后的型钢需要使用型钢矫正机进行矫正，矫正过程中会产生噪声N。</w:t>
            </w:r>
          </w:p>
          <w:p>
            <w:pPr>
              <w:pStyle w:val="67"/>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（4）打磨</w:t>
            </w:r>
          </w:p>
          <w:p>
            <w:pPr>
              <w:pStyle w:val="67"/>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人工手持角磨机对焊接后焊缝飞溅以及零件毛刺进行打磨处理，保证构件的外观质量。打磨过程会产生颗粒物G1、设备噪声N及废金属屑S4。打磨粉尘经</w:t>
            </w:r>
            <w:r>
              <w:rPr>
                <w:rFonts w:hint="eastAsia" w:ascii="Times New Roman" w:hAnsi="Times New Roman" w:cs="Times New Roman"/>
                <w:color w:val="auto"/>
                <w:highlight w:val="none"/>
                <w:lang w:eastAsia="zh-CN"/>
              </w:rPr>
              <w:t>万向集气罩</w:t>
            </w:r>
            <w:r>
              <w:rPr>
                <w:rFonts w:ascii="Times New Roman" w:hAnsi="Times New Roman" w:cs="Times New Roman"/>
                <w:color w:val="auto"/>
                <w:highlight w:val="none"/>
              </w:rPr>
              <w:t>进行收集，收集效率为70%，收集后的颗粒物经</w:t>
            </w:r>
            <w:r>
              <w:rPr>
                <w:rFonts w:hint="eastAsia" w:ascii="Times New Roman" w:hAnsi="Times New Roman" w:cs="Times New Roman"/>
                <w:color w:val="auto"/>
                <w:highlight w:val="none"/>
                <w:lang w:eastAsia="zh-CN"/>
              </w:rPr>
              <w:t>布袋除尘器</w:t>
            </w:r>
            <w:r>
              <w:rPr>
                <w:rFonts w:ascii="Times New Roman" w:hAnsi="Times New Roman" w:cs="Times New Roman"/>
                <w:color w:val="auto"/>
                <w:highlight w:val="none"/>
              </w:rPr>
              <w:t>进行处理，处理效率为95%，然后通过</w:t>
            </w:r>
            <w:r>
              <w:rPr>
                <w:rFonts w:hint="eastAsia" w:ascii="Times New Roman" w:hAnsi="Times New Roman" w:cs="Times New Roman"/>
                <w:color w:val="auto"/>
                <w:highlight w:val="none"/>
                <w:lang w:val="en-US" w:eastAsia="zh-CN"/>
              </w:rPr>
              <w:t>18</w:t>
            </w:r>
            <w:r>
              <w:rPr>
                <w:rFonts w:ascii="Times New Roman" w:hAnsi="Times New Roman" w:cs="Times New Roman"/>
                <w:color w:val="auto"/>
                <w:highlight w:val="none"/>
              </w:rPr>
              <w:t>m高排气筒外排。</w:t>
            </w:r>
          </w:p>
          <w:p>
            <w:pPr>
              <w:pStyle w:val="67"/>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（5）除锈抛丸</w:t>
            </w:r>
          </w:p>
          <w:p>
            <w:pPr>
              <w:spacing w:line="360" w:lineRule="auto"/>
              <w:ind w:firstLine="480" w:firstLineChars="200"/>
              <w:rPr>
                <w:rFonts w:ascii="Times New Roman" w:hAnsi="Times New Roman" w:cs="Times New Roman"/>
                <w:color w:val="auto"/>
                <w:kern w:val="24"/>
                <w:sz w:val="24"/>
                <w:szCs w:val="20"/>
                <w:highlight w:val="none"/>
              </w:rPr>
            </w:pPr>
            <w:r>
              <w:rPr>
                <w:rFonts w:ascii="Times New Roman" w:hAnsi="Times New Roman" w:cs="Times New Roman"/>
                <w:color w:val="auto"/>
                <w:kern w:val="24"/>
                <w:sz w:val="24"/>
                <w:szCs w:val="20"/>
                <w:highlight w:val="none"/>
              </w:rPr>
              <w:t>将组装完成的钢结构采用抛丸机进行抛丸处理，去除氧化皮及其他污染物，以提高后续涂装工序漆料的附着能力。该工序会产生设备噪声N、颗粒物G1 、废钢砂S5。由于本项目工件较大，无法实现封闭抛丸，钢结构工件在抛丸机轨道上缓慢进入并完成连续抛丸，抛丸过程产生的粉尘经抛丸机内部</w:t>
            </w:r>
            <w:r>
              <w:rPr>
                <w:rFonts w:hint="eastAsia" w:ascii="Times New Roman" w:hAnsi="Times New Roman" w:cs="Times New Roman"/>
                <w:color w:val="auto"/>
                <w:kern w:val="24"/>
                <w:sz w:val="24"/>
                <w:szCs w:val="20"/>
                <w:highlight w:val="none"/>
              </w:rPr>
              <w:t>收集系统</w:t>
            </w:r>
            <w:r>
              <w:rPr>
                <w:rFonts w:ascii="Times New Roman" w:hAnsi="Times New Roman" w:cs="Times New Roman"/>
                <w:color w:val="auto"/>
                <w:kern w:val="24"/>
                <w:sz w:val="24"/>
                <w:szCs w:val="20"/>
                <w:highlight w:val="none"/>
              </w:rPr>
              <w:t>进行收集，并在进出口</w:t>
            </w:r>
            <w:r>
              <w:rPr>
                <w:rFonts w:hint="eastAsia" w:ascii="Times New Roman" w:hAnsi="Times New Roman" w:cs="Times New Roman"/>
                <w:color w:val="auto"/>
                <w:kern w:val="24"/>
                <w:sz w:val="24"/>
                <w:szCs w:val="20"/>
                <w:highlight w:val="none"/>
              </w:rPr>
              <w:t>安装密封性良好的</w:t>
            </w:r>
            <w:r>
              <w:rPr>
                <w:rFonts w:ascii="Times New Roman" w:hAnsi="Times New Roman" w:cs="Times New Roman"/>
                <w:color w:val="auto"/>
                <w:kern w:val="24"/>
                <w:sz w:val="24"/>
                <w:szCs w:val="20"/>
                <w:highlight w:val="none"/>
              </w:rPr>
              <w:t>软帘</w:t>
            </w:r>
            <w:r>
              <w:rPr>
                <w:rFonts w:hint="eastAsia" w:ascii="Times New Roman" w:hAnsi="Times New Roman" w:cs="Times New Roman"/>
                <w:color w:val="auto"/>
                <w:kern w:val="24"/>
                <w:sz w:val="24"/>
                <w:szCs w:val="20"/>
                <w:highlight w:val="none"/>
              </w:rPr>
              <w:t>防止粉尘溢出，软帘下垂至抛丸机下方，能够将抛丸机进出口完全遮挡</w:t>
            </w:r>
            <w:r>
              <w:rPr>
                <w:rFonts w:ascii="Times New Roman" w:hAnsi="Times New Roman" w:cs="Times New Roman"/>
                <w:color w:val="auto"/>
                <w:kern w:val="24"/>
                <w:sz w:val="24"/>
                <w:szCs w:val="20"/>
                <w:highlight w:val="none"/>
              </w:rPr>
              <w:t>，</w:t>
            </w:r>
            <w:r>
              <w:rPr>
                <w:rFonts w:hint="eastAsia" w:ascii="Times New Roman" w:hAnsi="Times New Roman" w:cs="Times New Roman"/>
                <w:color w:val="auto"/>
                <w:kern w:val="24"/>
                <w:sz w:val="24"/>
                <w:szCs w:val="20"/>
                <w:highlight w:val="none"/>
              </w:rPr>
              <w:t>实际运行过程中仍有极少部分颗粒物通过软帘缝隙排出，上述收集方式收集效率较高，本项目按照97</w:t>
            </w:r>
            <w:r>
              <w:rPr>
                <w:rFonts w:ascii="Times New Roman" w:hAnsi="Times New Roman" w:cs="Times New Roman"/>
                <w:color w:val="auto"/>
                <w:kern w:val="24"/>
                <w:sz w:val="24"/>
                <w:szCs w:val="20"/>
                <w:highlight w:val="none"/>
              </w:rPr>
              <w:t>%</w:t>
            </w:r>
            <w:r>
              <w:rPr>
                <w:rFonts w:hint="eastAsia" w:ascii="Times New Roman" w:hAnsi="Times New Roman" w:cs="Times New Roman"/>
                <w:color w:val="auto"/>
                <w:kern w:val="24"/>
                <w:sz w:val="24"/>
                <w:szCs w:val="20"/>
                <w:highlight w:val="none"/>
              </w:rPr>
              <w:t>计</w:t>
            </w:r>
            <w:r>
              <w:rPr>
                <w:rFonts w:ascii="Times New Roman" w:hAnsi="Times New Roman" w:cs="Times New Roman"/>
                <w:color w:val="auto"/>
                <w:kern w:val="24"/>
                <w:sz w:val="24"/>
                <w:szCs w:val="20"/>
                <w:highlight w:val="none"/>
              </w:rPr>
              <w:t>，</w:t>
            </w:r>
            <w:r>
              <w:rPr>
                <w:rFonts w:hint="eastAsia" w:ascii="Times New Roman" w:hAnsi="Times New Roman" w:cs="Times New Roman"/>
                <w:color w:val="auto"/>
                <w:kern w:val="24"/>
                <w:sz w:val="24"/>
                <w:szCs w:val="20"/>
                <w:highlight w:val="none"/>
              </w:rPr>
              <w:t>收集后的颗粒物</w:t>
            </w:r>
            <w:r>
              <w:rPr>
                <w:rFonts w:ascii="Times New Roman" w:hAnsi="Times New Roman" w:cs="Times New Roman"/>
                <w:color w:val="auto"/>
                <w:kern w:val="24"/>
                <w:sz w:val="24"/>
                <w:szCs w:val="20"/>
                <w:highlight w:val="none"/>
              </w:rPr>
              <w:t>最终经</w:t>
            </w:r>
            <w:r>
              <w:rPr>
                <w:rFonts w:hint="eastAsia" w:ascii="Times New Roman" w:hAnsi="Times New Roman" w:cs="Times New Roman"/>
                <w:color w:val="auto"/>
                <w:kern w:val="24"/>
                <w:sz w:val="24"/>
                <w:szCs w:val="20"/>
                <w:highlight w:val="none"/>
                <w:lang w:eastAsia="zh-CN"/>
              </w:rPr>
              <w:t>布袋除尘器</w:t>
            </w:r>
            <w:r>
              <w:rPr>
                <w:rFonts w:ascii="Times New Roman" w:hAnsi="Times New Roman" w:cs="Times New Roman"/>
                <w:color w:val="auto"/>
                <w:kern w:val="24"/>
                <w:sz w:val="24"/>
                <w:szCs w:val="20"/>
                <w:highlight w:val="none"/>
              </w:rPr>
              <w:t>净化处理，处理效率按95%计，最后通过1</w:t>
            </w:r>
            <w:r>
              <w:rPr>
                <w:rFonts w:hint="eastAsia" w:ascii="Times New Roman" w:hAnsi="Times New Roman" w:cs="Times New Roman"/>
                <w:color w:val="auto"/>
                <w:kern w:val="24"/>
                <w:sz w:val="24"/>
                <w:szCs w:val="20"/>
                <w:highlight w:val="none"/>
                <w:lang w:val="en-US" w:eastAsia="zh-CN"/>
              </w:rPr>
              <w:t>8</w:t>
            </w:r>
            <w:r>
              <w:rPr>
                <w:rFonts w:ascii="Times New Roman" w:hAnsi="Times New Roman" w:cs="Times New Roman"/>
                <w:color w:val="auto"/>
                <w:kern w:val="24"/>
                <w:sz w:val="24"/>
                <w:szCs w:val="20"/>
                <w:highlight w:val="none"/>
              </w:rPr>
              <w:t>m排气筒排放。</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（6）涂装</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涂装过程主要包括调漆、喷漆、晾干三</w:t>
            </w:r>
            <w:r>
              <w:rPr>
                <w:rFonts w:hint="eastAsia" w:cs="Times New Roman"/>
                <w:color w:val="auto"/>
                <w:sz w:val="24"/>
                <w:szCs w:val="32"/>
                <w:highlight w:val="none"/>
                <w:lang w:eastAsia="zh-CN"/>
              </w:rPr>
              <w:t>道</w:t>
            </w:r>
            <w:r>
              <w:rPr>
                <w:rFonts w:ascii="Times New Roman" w:hAnsi="Times New Roman" w:cs="Times New Roman"/>
                <w:color w:val="auto"/>
                <w:sz w:val="24"/>
                <w:szCs w:val="32"/>
                <w:highlight w:val="none"/>
              </w:rPr>
              <w:t>工序。涂装工序在</w:t>
            </w:r>
            <w:r>
              <w:rPr>
                <w:rFonts w:hint="eastAsia" w:ascii="Times New Roman" w:hAnsi="Times New Roman" w:cs="Times New Roman"/>
                <w:color w:val="auto"/>
                <w:sz w:val="24"/>
                <w:szCs w:val="32"/>
                <w:highlight w:val="none"/>
                <w:lang w:val="en-US" w:eastAsia="zh-CN"/>
              </w:rPr>
              <w:t>生产</w:t>
            </w:r>
            <w:r>
              <w:rPr>
                <w:rFonts w:ascii="Times New Roman" w:hAnsi="Times New Roman" w:cs="Times New Roman"/>
                <w:color w:val="auto"/>
                <w:sz w:val="24"/>
                <w:szCs w:val="32"/>
                <w:highlight w:val="none"/>
              </w:rPr>
              <w:t>车间</w:t>
            </w:r>
            <w:r>
              <w:rPr>
                <w:rFonts w:hint="eastAsia" w:ascii="Times New Roman" w:hAnsi="Times New Roman" w:cs="Times New Roman"/>
                <w:color w:val="auto"/>
                <w:sz w:val="24"/>
                <w:szCs w:val="32"/>
                <w:highlight w:val="none"/>
                <w:lang w:val="en-US" w:eastAsia="zh-CN"/>
              </w:rPr>
              <w:t>1</w:t>
            </w:r>
            <w:r>
              <w:rPr>
                <w:rFonts w:ascii="Times New Roman" w:hAnsi="Times New Roman" w:cs="Times New Roman"/>
                <w:color w:val="auto"/>
                <w:sz w:val="24"/>
                <w:szCs w:val="32"/>
                <w:highlight w:val="none"/>
              </w:rPr>
              <w:t>伸缩式喷漆房内实施。</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 xml:space="preserve">①调漆（含清洗喷涂机过程） </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抛丸后的工件由天车</w:t>
            </w:r>
            <w:r>
              <w:rPr>
                <w:rFonts w:hint="eastAsia" w:ascii="Times New Roman" w:hAnsi="Times New Roman" w:cs="Times New Roman"/>
                <w:color w:val="auto"/>
                <w:sz w:val="24"/>
                <w:szCs w:val="32"/>
                <w:highlight w:val="none"/>
                <w:lang w:eastAsia="zh-CN"/>
              </w:rPr>
              <w:t>、</w:t>
            </w:r>
            <w:r>
              <w:rPr>
                <w:rFonts w:hint="eastAsia" w:ascii="Times New Roman" w:hAnsi="Times New Roman" w:cs="Times New Roman"/>
                <w:color w:val="auto"/>
                <w:sz w:val="24"/>
                <w:szCs w:val="32"/>
                <w:highlight w:val="none"/>
                <w:lang w:val="en-US" w:eastAsia="zh-CN"/>
              </w:rPr>
              <w:t>地牛</w:t>
            </w:r>
            <w:r>
              <w:rPr>
                <w:rFonts w:ascii="Times New Roman" w:hAnsi="Times New Roman" w:cs="Times New Roman"/>
                <w:color w:val="auto"/>
                <w:sz w:val="24"/>
                <w:szCs w:val="32"/>
                <w:highlight w:val="none"/>
              </w:rPr>
              <w:t>运送进入伸缩式喷漆房，整齐码放在喷涂工位，本项目在</w:t>
            </w:r>
            <w:r>
              <w:rPr>
                <w:rFonts w:hint="eastAsia" w:ascii="Times New Roman" w:hAnsi="Times New Roman" w:cs="Times New Roman"/>
                <w:color w:val="auto"/>
                <w:sz w:val="24"/>
                <w:szCs w:val="32"/>
                <w:highlight w:val="none"/>
                <w:lang w:val="en-US" w:eastAsia="zh-CN"/>
              </w:rPr>
              <w:t>生产</w:t>
            </w:r>
            <w:r>
              <w:rPr>
                <w:rFonts w:ascii="Times New Roman" w:hAnsi="Times New Roman" w:cs="Times New Roman"/>
                <w:color w:val="auto"/>
                <w:sz w:val="24"/>
                <w:szCs w:val="32"/>
                <w:highlight w:val="none"/>
              </w:rPr>
              <w:t>车间</w:t>
            </w:r>
            <w:r>
              <w:rPr>
                <w:rFonts w:hint="eastAsia" w:ascii="Times New Roman" w:hAnsi="Times New Roman" w:cs="Times New Roman"/>
                <w:color w:val="auto"/>
                <w:sz w:val="24"/>
                <w:szCs w:val="32"/>
                <w:highlight w:val="none"/>
                <w:lang w:val="en-US" w:eastAsia="zh-CN"/>
              </w:rPr>
              <w:t>1</w:t>
            </w:r>
            <w:r>
              <w:rPr>
                <w:rFonts w:ascii="Times New Roman" w:hAnsi="Times New Roman" w:cs="Times New Roman"/>
                <w:color w:val="auto"/>
                <w:sz w:val="24"/>
                <w:szCs w:val="32"/>
                <w:highlight w:val="none"/>
              </w:rPr>
              <w:t>设置</w:t>
            </w:r>
            <w:r>
              <w:rPr>
                <w:rFonts w:hint="eastAsia" w:ascii="Times New Roman" w:hAnsi="Times New Roman" w:cs="Times New Roman"/>
                <w:color w:val="auto"/>
                <w:sz w:val="24"/>
                <w:szCs w:val="32"/>
                <w:highlight w:val="none"/>
                <w:lang w:val="en-US" w:eastAsia="zh-CN"/>
              </w:rPr>
              <w:t>1</w:t>
            </w:r>
            <w:r>
              <w:rPr>
                <w:rFonts w:ascii="Times New Roman" w:hAnsi="Times New Roman" w:cs="Times New Roman"/>
                <w:color w:val="auto"/>
                <w:sz w:val="24"/>
                <w:szCs w:val="32"/>
                <w:highlight w:val="none"/>
              </w:rPr>
              <w:t>套伸缩式喷漆房，伸缩式喷漆房内配置</w:t>
            </w:r>
            <w:r>
              <w:rPr>
                <w:rFonts w:hint="eastAsia" w:ascii="Times New Roman" w:hAnsi="Times New Roman" w:cs="Times New Roman"/>
                <w:color w:val="auto"/>
                <w:sz w:val="24"/>
                <w:szCs w:val="32"/>
                <w:highlight w:val="none"/>
                <w:lang w:val="en-US" w:eastAsia="zh-CN"/>
              </w:rPr>
              <w:t>4</w:t>
            </w:r>
            <w:r>
              <w:rPr>
                <w:rFonts w:ascii="Times New Roman" w:hAnsi="Times New Roman" w:cs="Times New Roman"/>
                <w:color w:val="auto"/>
                <w:sz w:val="24"/>
                <w:szCs w:val="32"/>
                <w:highlight w:val="none"/>
              </w:rPr>
              <w:t>台高压无气喷枪</w:t>
            </w:r>
            <w:r>
              <w:rPr>
                <w:rFonts w:hint="eastAsia" w:ascii="Times New Roman" w:hAnsi="Times New Roman" w:cs="Times New Roman"/>
                <w:color w:val="auto"/>
                <w:sz w:val="24"/>
                <w:szCs w:val="32"/>
                <w:highlight w:val="none"/>
                <w:lang w:eastAsia="zh-CN"/>
              </w:rPr>
              <w:t>，</w:t>
            </w:r>
            <w:r>
              <w:rPr>
                <w:rFonts w:hint="eastAsia" w:ascii="Times New Roman" w:hAnsi="Times New Roman" w:cs="Times New Roman"/>
                <w:color w:val="auto"/>
                <w:sz w:val="24"/>
                <w:szCs w:val="32"/>
                <w:highlight w:val="none"/>
                <w:lang w:val="en-US" w:eastAsia="zh-CN"/>
              </w:rPr>
              <w:t>两台用于油性漆喷涂，两台用于水性漆</w:t>
            </w:r>
            <w:r>
              <w:rPr>
                <w:rFonts w:hint="eastAsia" w:cs="Times New Roman"/>
                <w:color w:val="auto"/>
                <w:sz w:val="24"/>
                <w:szCs w:val="32"/>
                <w:highlight w:val="none"/>
                <w:lang w:val="en-US" w:eastAsia="zh-CN"/>
              </w:rPr>
              <w:t>喷</w:t>
            </w:r>
            <w:r>
              <w:rPr>
                <w:rFonts w:hint="eastAsia" w:ascii="Times New Roman" w:hAnsi="Times New Roman" w:cs="Times New Roman"/>
                <w:color w:val="auto"/>
                <w:sz w:val="24"/>
                <w:szCs w:val="32"/>
                <w:highlight w:val="none"/>
                <w:lang w:val="en-US" w:eastAsia="zh-CN"/>
              </w:rPr>
              <w:t>涂</w:t>
            </w:r>
            <w:r>
              <w:rPr>
                <w:rFonts w:ascii="Times New Roman" w:hAnsi="Times New Roman" w:cs="Times New Roman"/>
                <w:color w:val="auto"/>
                <w:sz w:val="24"/>
                <w:szCs w:val="32"/>
                <w:highlight w:val="none"/>
              </w:rPr>
              <w:t>。</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漆料需要人工进行调漆，调漆区位于伸缩式喷漆房内。调漆前，首先关闭入口及出口，在作业环境下</w:t>
            </w:r>
            <w:r>
              <w:rPr>
                <w:rFonts w:hint="eastAsia" w:ascii="Times New Roman" w:hAnsi="Times New Roman" w:cs="Times New Roman"/>
                <w:color w:val="auto"/>
                <w:sz w:val="24"/>
                <w:szCs w:val="32"/>
                <w:highlight w:val="none"/>
                <w:lang w:val="en-US" w:eastAsia="zh-CN"/>
              </w:rPr>
              <w:t>油漆</w:t>
            </w:r>
            <w:r>
              <w:rPr>
                <w:rFonts w:ascii="Times New Roman" w:hAnsi="Times New Roman" w:cs="Times New Roman"/>
                <w:color w:val="auto"/>
                <w:sz w:val="24"/>
                <w:szCs w:val="32"/>
                <w:highlight w:val="none"/>
              </w:rPr>
              <w:t>使用电动搅拌器按照油漆及稀料比例进行调配</w:t>
            </w:r>
            <w:r>
              <w:rPr>
                <w:rFonts w:hint="eastAsia" w:ascii="Times New Roman" w:hAnsi="Times New Roman" w:cs="Times New Roman"/>
                <w:color w:val="auto"/>
                <w:sz w:val="24"/>
                <w:szCs w:val="32"/>
                <w:highlight w:val="none"/>
                <w:lang w:eastAsia="zh-CN"/>
              </w:rPr>
              <w:t>，</w:t>
            </w:r>
            <w:r>
              <w:rPr>
                <w:rFonts w:hint="eastAsia" w:ascii="Times New Roman" w:hAnsi="Times New Roman" w:cs="Times New Roman"/>
                <w:color w:val="auto"/>
                <w:sz w:val="24"/>
                <w:szCs w:val="32"/>
                <w:highlight w:val="none"/>
                <w:lang w:val="en-US" w:eastAsia="zh-CN"/>
              </w:rPr>
              <w:t>水性漆使用</w:t>
            </w:r>
            <w:r>
              <w:rPr>
                <w:rFonts w:ascii="Times New Roman" w:hAnsi="Times New Roman" w:cs="Times New Roman"/>
                <w:color w:val="auto"/>
                <w:sz w:val="24"/>
                <w:szCs w:val="32"/>
                <w:highlight w:val="none"/>
              </w:rPr>
              <w:t>电动搅拌器按照</w:t>
            </w:r>
            <w:r>
              <w:rPr>
                <w:rFonts w:hint="eastAsia" w:ascii="Times New Roman" w:hAnsi="Times New Roman" w:cs="Times New Roman"/>
                <w:color w:val="auto"/>
                <w:sz w:val="24"/>
                <w:szCs w:val="32"/>
                <w:highlight w:val="none"/>
                <w:lang w:val="en-US" w:eastAsia="zh-CN"/>
              </w:rPr>
              <w:t>水性漆</w:t>
            </w:r>
            <w:r>
              <w:rPr>
                <w:rFonts w:ascii="Times New Roman" w:hAnsi="Times New Roman" w:cs="Times New Roman"/>
                <w:color w:val="auto"/>
                <w:sz w:val="24"/>
                <w:szCs w:val="32"/>
                <w:highlight w:val="none"/>
              </w:rPr>
              <w:t>及</w:t>
            </w:r>
            <w:r>
              <w:rPr>
                <w:rFonts w:hint="eastAsia" w:ascii="Times New Roman" w:hAnsi="Times New Roman" w:cs="Times New Roman"/>
                <w:color w:val="auto"/>
                <w:sz w:val="24"/>
                <w:szCs w:val="32"/>
                <w:highlight w:val="none"/>
                <w:lang w:val="en-US" w:eastAsia="zh-CN"/>
              </w:rPr>
              <w:t>水</w:t>
            </w:r>
            <w:r>
              <w:rPr>
                <w:rFonts w:ascii="Times New Roman" w:hAnsi="Times New Roman" w:cs="Times New Roman"/>
                <w:color w:val="auto"/>
                <w:sz w:val="24"/>
                <w:szCs w:val="32"/>
                <w:highlight w:val="none"/>
              </w:rPr>
              <w:t>比例进行调配。配置比例见表</w:t>
            </w:r>
            <w:r>
              <w:rPr>
                <w:rFonts w:hint="eastAsia" w:ascii="Times New Roman" w:hAnsi="Times New Roman" w:cs="Times New Roman"/>
                <w:color w:val="auto"/>
                <w:sz w:val="24"/>
                <w:szCs w:val="32"/>
                <w:highlight w:val="none"/>
                <w:lang w:val="en-US" w:eastAsia="zh-CN"/>
              </w:rPr>
              <w:t>2-6</w:t>
            </w:r>
            <w:r>
              <w:rPr>
                <w:rFonts w:ascii="Times New Roman" w:hAnsi="Times New Roman" w:cs="Times New Roman"/>
                <w:color w:val="auto"/>
                <w:sz w:val="24"/>
                <w:szCs w:val="32"/>
                <w:highlight w:val="none"/>
              </w:rPr>
              <w:t>。</w:t>
            </w:r>
          </w:p>
          <w:p>
            <w:pPr>
              <w:spacing w:line="360" w:lineRule="auto"/>
              <w:ind w:firstLine="480" w:firstLineChars="200"/>
              <w:rPr>
                <w:rFonts w:ascii="Times New Roman" w:hAnsi="Times New Roman" w:cs="Times New Roman"/>
                <w:color w:val="auto"/>
                <w:sz w:val="24"/>
                <w:szCs w:val="32"/>
                <w:highlight w:val="none"/>
              </w:rPr>
            </w:pPr>
            <w:r>
              <w:rPr>
                <w:rFonts w:hint="eastAsia" w:ascii="Times New Roman" w:hAnsi="Times New Roman" w:cs="Times New Roman"/>
                <w:color w:val="auto"/>
                <w:sz w:val="24"/>
                <w:szCs w:val="32"/>
                <w:highlight w:val="none"/>
                <w:lang w:val="en-US" w:eastAsia="zh-CN"/>
              </w:rPr>
              <w:t>油性漆</w:t>
            </w:r>
            <w:r>
              <w:rPr>
                <w:rFonts w:ascii="Times New Roman" w:hAnsi="Times New Roman" w:cs="Times New Roman"/>
                <w:color w:val="auto"/>
                <w:sz w:val="24"/>
                <w:szCs w:val="32"/>
                <w:highlight w:val="none"/>
              </w:rPr>
              <w:t>喷枪需定期清洗（每日清洗1次），油性漆喷枪采用少量稀释剂（与喷漆所用稀释剂为同一稀释剂）浸润清洗，洗枪液与漆料混合后不影响漆料品质。</w:t>
            </w:r>
          </w:p>
          <w:p>
            <w:pPr>
              <w:spacing w:line="360" w:lineRule="auto"/>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由于洗枪所用稀释剂量较小，故与漆料混合后不改变漆料中各成分配比。洗枪液经调漆后重新进行喷涂作业，不作为其他废物处理</w:t>
            </w:r>
            <w:r>
              <w:rPr>
                <w:rFonts w:hint="eastAsia" w:ascii="Times New Roman" w:hAnsi="Times New Roman" w:cs="Times New Roman"/>
                <w:color w:val="auto"/>
                <w:sz w:val="24"/>
                <w:szCs w:val="32"/>
                <w:highlight w:val="none"/>
                <w:lang w:eastAsia="zh-CN"/>
              </w:rPr>
              <w:t>。</w:t>
            </w:r>
            <w:r>
              <w:rPr>
                <w:rFonts w:hint="default" w:ascii="Times New Roman" w:hAnsi="Times New Roman" w:cs="Times New Roman"/>
                <w:bCs/>
                <w:color w:val="auto"/>
                <w:sz w:val="24"/>
                <w:szCs w:val="24"/>
                <w:highlight w:val="none"/>
                <w:lang w:bidi="ar"/>
              </w:rPr>
              <w:t>水性漆喷枪采用少量水浸润清洗，洗枪废液与</w:t>
            </w:r>
            <w:r>
              <w:rPr>
                <w:rFonts w:hint="eastAsia" w:cs="Times New Roman"/>
                <w:bCs/>
                <w:color w:val="auto"/>
                <w:sz w:val="24"/>
                <w:szCs w:val="24"/>
                <w:highlight w:val="none"/>
                <w:lang w:val="en-US" w:eastAsia="zh-CN" w:bidi="ar"/>
              </w:rPr>
              <w:t>水性漆</w:t>
            </w:r>
            <w:r>
              <w:rPr>
                <w:rFonts w:hint="default" w:ascii="Times New Roman" w:hAnsi="Times New Roman" w:cs="Times New Roman"/>
                <w:bCs/>
                <w:color w:val="auto"/>
                <w:sz w:val="24"/>
                <w:szCs w:val="24"/>
                <w:highlight w:val="none"/>
                <w:lang w:bidi="ar"/>
              </w:rPr>
              <w:t>混合调漆重新进行喷</w:t>
            </w:r>
            <w:r>
              <w:rPr>
                <w:rFonts w:hint="eastAsia" w:cs="Times New Roman"/>
                <w:bCs/>
                <w:color w:val="auto"/>
                <w:sz w:val="24"/>
                <w:szCs w:val="24"/>
                <w:highlight w:val="none"/>
                <w:lang w:val="en-US" w:eastAsia="zh-CN" w:bidi="ar"/>
              </w:rPr>
              <w:t>漆</w:t>
            </w:r>
            <w:r>
              <w:rPr>
                <w:rFonts w:hint="default" w:ascii="Times New Roman" w:hAnsi="Times New Roman" w:cs="Times New Roman"/>
                <w:bCs/>
                <w:color w:val="auto"/>
                <w:sz w:val="24"/>
                <w:szCs w:val="24"/>
                <w:highlight w:val="none"/>
                <w:lang w:bidi="ar"/>
              </w:rPr>
              <w:t>作业，</w:t>
            </w:r>
            <w:r>
              <w:rPr>
                <w:rFonts w:hint="eastAsia" w:cs="Times New Roman"/>
                <w:bCs/>
                <w:color w:val="auto"/>
                <w:sz w:val="24"/>
                <w:szCs w:val="24"/>
                <w:highlight w:val="none"/>
                <w:lang w:val="en-US" w:eastAsia="zh-CN" w:bidi="ar"/>
              </w:rPr>
              <w:t>不会产生洗枪废水。</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洗枪于伸缩式喷漆房中进行，调漆过程（包含清洗喷枪过程）中会产生有机废气G2（TRVOC、非甲烷总烃、二甲苯、臭气浓度、乙苯）和异味G3（臭气浓度、乙苯），经伸缩式喷漆房内整体换风方式及微负压环境进行废气收集，</w:t>
            </w:r>
            <w:r>
              <w:rPr>
                <w:rFonts w:hint="eastAsia" w:ascii="Times New Roman" w:hAnsi="Times New Roman" w:cs="Times New Roman"/>
                <w:color w:val="auto"/>
                <w:sz w:val="24"/>
                <w:szCs w:val="32"/>
                <w:highlight w:val="none"/>
              </w:rPr>
              <w:t>因伸缩式喷漆房与地面之前存有缝隙并且伸缩式喷漆房面积较大，故</w:t>
            </w:r>
            <w:r>
              <w:rPr>
                <w:rFonts w:ascii="Times New Roman" w:hAnsi="Times New Roman" w:cs="Times New Roman"/>
                <w:color w:val="auto"/>
                <w:sz w:val="24"/>
                <w:szCs w:val="32"/>
                <w:highlight w:val="none"/>
              </w:rPr>
              <w:t>收集效率</w:t>
            </w:r>
            <w:r>
              <w:rPr>
                <w:rFonts w:hint="eastAsia" w:ascii="Times New Roman" w:hAnsi="Times New Roman" w:cs="Times New Roman"/>
                <w:color w:val="auto"/>
                <w:sz w:val="24"/>
                <w:szCs w:val="32"/>
                <w:highlight w:val="none"/>
              </w:rPr>
              <w:t>按9</w:t>
            </w:r>
            <w:r>
              <w:rPr>
                <w:rFonts w:hint="eastAsia" w:cs="Times New Roman"/>
                <w:color w:val="auto"/>
                <w:sz w:val="24"/>
                <w:szCs w:val="32"/>
                <w:highlight w:val="none"/>
                <w:lang w:val="en-US" w:eastAsia="zh-CN"/>
              </w:rPr>
              <w:t>7</w:t>
            </w:r>
            <w:r>
              <w:rPr>
                <w:rFonts w:ascii="Times New Roman" w:hAnsi="Times New Roman" w:cs="Times New Roman"/>
                <w:color w:val="auto"/>
                <w:sz w:val="24"/>
                <w:szCs w:val="32"/>
                <w:highlight w:val="none"/>
              </w:rPr>
              <w:t>%</w:t>
            </w:r>
            <w:r>
              <w:rPr>
                <w:rFonts w:hint="eastAsia" w:ascii="Times New Roman" w:hAnsi="Times New Roman" w:cs="Times New Roman"/>
                <w:color w:val="auto"/>
                <w:sz w:val="24"/>
                <w:szCs w:val="32"/>
                <w:highlight w:val="none"/>
              </w:rPr>
              <w:t>计</w:t>
            </w:r>
            <w:r>
              <w:rPr>
                <w:rFonts w:ascii="Times New Roman" w:hAnsi="Times New Roman" w:cs="Times New Roman"/>
                <w:color w:val="auto"/>
                <w:sz w:val="24"/>
                <w:szCs w:val="32"/>
                <w:highlight w:val="none"/>
              </w:rPr>
              <w:t>，收集的废气通过排风口</w:t>
            </w:r>
            <w:r>
              <w:rPr>
                <w:rFonts w:hint="eastAsia" w:ascii="Times New Roman" w:hAnsi="Times New Roman" w:cs="Times New Roman"/>
                <w:color w:val="auto"/>
                <w:sz w:val="24"/>
                <w:szCs w:val="32"/>
                <w:highlight w:val="none"/>
                <w:lang w:val="en-US" w:eastAsia="zh-CN"/>
              </w:rPr>
              <w:t>水帘</w:t>
            </w:r>
            <w:r>
              <w:rPr>
                <w:rFonts w:ascii="Times New Roman" w:hAnsi="Times New Roman" w:cs="Times New Roman"/>
                <w:color w:val="auto"/>
                <w:sz w:val="24"/>
                <w:szCs w:val="32"/>
                <w:highlight w:val="none"/>
              </w:rPr>
              <w:t>后进入1套</w:t>
            </w:r>
            <w:r>
              <w:rPr>
                <w:rFonts w:hint="eastAsia" w:cs="Times New Roman"/>
                <w:color w:val="auto"/>
                <w:sz w:val="24"/>
                <w:szCs w:val="32"/>
                <w:highlight w:val="none"/>
                <w:lang w:eastAsia="zh-CN"/>
              </w:rPr>
              <w:t>“</w:t>
            </w:r>
            <w:r>
              <w:rPr>
                <w:rFonts w:ascii="Times New Roman" w:hAnsi="Times New Roman" w:cs="Times New Roman"/>
                <w:color w:val="auto"/>
                <w:sz w:val="24"/>
                <w:szCs w:val="32"/>
                <w:highlight w:val="none"/>
              </w:rPr>
              <w:t>干式过滤棉+</w:t>
            </w:r>
            <w:r>
              <w:rPr>
                <w:rFonts w:hint="eastAsia" w:cs="Times New Roman"/>
                <w:color w:val="auto"/>
                <w:sz w:val="24"/>
                <w:szCs w:val="32"/>
                <w:highlight w:val="none"/>
                <w:lang w:eastAsia="zh-CN"/>
              </w:rPr>
              <w:t>活性炭吸附、脱附催化燃烧</w:t>
            </w:r>
            <w:r>
              <w:rPr>
                <w:rFonts w:ascii="Times New Roman" w:hAnsi="Times New Roman" w:cs="Times New Roman"/>
                <w:color w:val="auto"/>
                <w:sz w:val="24"/>
                <w:szCs w:val="32"/>
                <w:highlight w:val="none"/>
              </w:rPr>
              <w:t>装置</w:t>
            </w:r>
            <w:r>
              <w:rPr>
                <w:rFonts w:hint="eastAsia" w:cs="Times New Roman"/>
                <w:color w:val="auto"/>
                <w:sz w:val="24"/>
                <w:szCs w:val="32"/>
                <w:highlight w:val="none"/>
                <w:lang w:eastAsia="zh-CN"/>
              </w:rPr>
              <w:t>”</w:t>
            </w:r>
            <w:r>
              <w:rPr>
                <w:rFonts w:ascii="Times New Roman" w:hAnsi="Times New Roman" w:cs="Times New Roman"/>
                <w:color w:val="auto"/>
                <w:sz w:val="24"/>
                <w:szCs w:val="32"/>
                <w:highlight w:val="none"/>
              </w:rPr>
              <w:t>进行处理，</w:t>
            </w:r>
            <w:r>
              <w:rPr>
                <w:rFonts w:ascii="Times New Roman" w:hAnsi="Times New Roman" w:cs="Times New Roman"/>
                <w:color w:val="auto"/>
                <w:sz w:val="24"/>
                <w:highlight w:val="none"/>
              </w:rPr>
              <w:t>活性炭对有机废气吸附效率按85%计，催化燃烧过程有机废气处理效率按97%计，处理后的废气</w:t>
            </w:r>
            <w:r>
              <w:rPr>
                <w:rFonts w:ascii="Times New Roman" w:hAnsi="Times New Roman" w:cs="Times New Roman"/>
                <w:color w:val="auto"/>
                <w:sz w:val="24"/>
                <w:szCs w:val="32"/>
                <w:highlight w:val="none"/>
              </w:rPr>
              <w:t>通过1根</w:t>
            </w:r>
            <w:r>
              <w:rPr>
                <w:rFonts w:hint="eastAsia" w:ascii="Times New Roman" w:hAnsi="Times New Roman" w:cs="Times New Roman"/>
                <w:color w:val="auto"/>
                <w:sz w:val="24"/>
                <w:szCs w:val="32"/>
                <w:highlight w:val="none"/>
                <w:lang w:val="en-US" w:eastAsia="zh-CN"/>
              </w:rPr>
              <w:t>15</w:t>
            </w:r>
            <w:r>
              <w:rPr>
                <w:rFonts w:ascii="Times New Roman" w:hAnsi="Times New Roman" w:cs="Times New Roman"/>
                <w:color w:val="auto"/>
                <w:sz w:val="24"/>
                <w:szCs w:val="32"/>
                <w:highlight w:val="none"/>
              </w:rPr>
              <w:t>m高排气筒P</w:t>
            </w:r>
            <w:r>
              <w:rPr>
                <w:rFonts w:hint="eastAsia" w:ascii="Times New Roman" w:hAnsi="Times New Roman" w:cs="Times New Roman"/>
                <w:color w:val="auto"/>
                <w:sz w:val="24"/>
                <w:szCs w:val="32"/>
                <w:highlight w:val="none"/>
                <w:lang w:val="en-US" w:eastAsia="zh-CN"/>
              </w:rPr>
              <w:t>6</w:t>
            </w:r>
            <w:r>
              <w:rPr>
                <w:rFonts w:ascii="Times New Roman" w:hAnsi="Times New Roman" w:cs="Times New Roman"/>
                <w:color w:val="auto"/>
                <w:sz w:val="24"/>
                <w:szCs w:val="32"/>
                <w:highlight w:val="none"/>
              </w:rPr>
              <w:t>排放</w:t>
            </w:r>
            <w:r>
              <w:rPr>
                <w:rFonts w:hint="eastAsia" w:ascii="Times New Roman" w:hAnsi="Times New Roman" w:cs="Times New Roman"/>
                <w:color w:val="auto"/>
                <w:sz w:val="24"/>
                <w:szCs w:val="32"/>
                <w:highlight w:val="none"/>
                <w:lang w:eastAsia="zh-CN"/>
              </w:rPr>
              <w:t>，</w:t>
            </w:r>
            <w:r>
              <w:rPr>
                <w:rFonts w:hint="eastAsia" w:ascii="Times New Roman" w:hAnsi="Times New Roman" w:cs="Times New Roman"/>
                <w:color w:val="auto"/>
                <w:sz w:val="24"/>
                <w:szCs w:val="32"/>
                <w:highlight w:val="none"/>
              </w:rPr>
              <w:t>未收集的废气约占</w:t>
            </w:r>
            <w:r>
              <w:rPr>
                <w:rFonts w:hint="eastAsia" w:cs="Times New Roman"/>
                <w:color w:val="auto"/>
                <w:sz w:val="24"/>
                <w:szCs w:val="32"/>
                <w:highlight w:val="none"/>
                <w:lang w:val="en-US" w:eastAsia="zh-CN"/>
              </w:rPr>
              <w:t>3</w:t>
            </w:r>
            <w:r>
              <w:rPr>
                <w:rFonts w:hint="eastAsia" w:ascii="Times New Roman" w:hAnsi="Times New Roman" w:cs="Times New Roman"/>
                <w:color w:val="auto"/>
                <w:sz w:val="24"/>
                <w:szCs w:val="32"/>
                <w:highlight w:val="none"/>
              </w:rPr>
              <w:t>%，通过车间无组织排放。</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②喷漆</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本项目喷涂采用高压无气喷涂机，利用柱塞泵将涂料增压，获得高压的涂料通过高压软管输送到喷枪，经由喷嘴释放压力形成雾化。喷漆前在地面铺设地毡，拦截喷漆过程中产生的漆渣。伸缩式喷漆房主要结构由固定端、伸缩前室、驱动机构、从动机构、废气处理系统和电动门组成。固定端由钢板密封，伸缩前室采用钢管制作的钢结构框架，铰链式连接，地面两侧安装专用导轨供伸缩式钢结构前后移动，三周由PVC 布组成封闭围护空间，前侧为门，材质亦为PVC布，类似卷闸门，可以从上往下拉动，工作时前门关闭，负压操作，送排风方式为上送风下排风，伸缩式喷漆房设置</w:t>
            </w:r>
            <w:r>
              <w:rPr>
                <w:rFonts w:hint="eastAsia" w:ascii="Times New Roman" w:hAnsi="Times New Roman" w:cs="Times New Roman"/>
                <w:color w:val="auto"/>
                <w:sz w:val="24"/>
                <w:szCs w:val="32"/>
                <w:highlight w:val="none"/>
                <w:lang w:val="en-US" w:eastAsia="zh-CN"/>
              </w:rPr>
              <w:t>1</w:t>
            </w:r>
            <w:r>
              <w:rPr>
                <w:rFonts w:ascii="Times New Roman" w:hAnsi="Times New Roman" w:cs="Times New Roman"/>
                <w:color w:val="auto"/>
                <w:sz w:val="24"/>
                <w:szCs w:val="32"/>
                <w:highlight w:val="none"/>
              </w:rPr>
              <w:t>个送风机，设计风量为</w:t>
            </w:r>
            <w:r>
              <w:rPr>
                <w:rFonts w:hint="eastAsia" w:cs="Times New Roman"/>
                <w:color w:val="auto"/>
                <w:sz w:val="24"/>
                <w:szCs w:val="32"/>
                <w:highlight w:val="none"/>
                <w:lang w:val="en-US" w:eastAsia="zh-CN"/>
              </w:rPr>
              <w:t>28</w:t>
            </w:r>
            <w:r>
              <w:rPr>
                <w:rFonts w:ascii="Times New Roman" w:hAnsi="Times New Roman" w:cs="Times New Roman"/>
                <w:color w:val="auto"/>
                <w:sz w:val="24"/>
                <w:szCs w:val="32"/>
                <w:highlight w:val="none"/>
              </w:rPr>
              <w:t>000m</w:t>
            </w:r>
            <w:r>
              <w:rPr>
                <w:rFonts w:ascii="Times New Roman" w:hAnsi="Times New Roman" w:cs="Times New Roman"/>
                <w:color w:val="auto"/>
                <w:sz w:val="24"/>
                <w:szCs w:val="32"/>
                <w:highlight w:val="none"/>
                <w:vertAlign w:val="superscript"/>
              </w:rPr>
              <w:t>3</w:t>
            </w:r>
            <w:r>
              <w:rPr>
                <w:rFonts w:ascii="Times New Roman" w:hAnsi="Times New Roman" w:cs="Times New Roman"/>
                <w:color w:val="auto"/>
                <w:sz w:val="24"/>
                <w:szCs w:val="32"/>
                <w:highlight w:val="none"/>
              </w:rPr>
              <w:t xml:space="preserve"> /h，伸缩式喷漆房排风口位于固定端侧方下半区，送风口位于喷漆房远端上方。伸缩式喷漆房尺寸均为长</w:t>
            </w:r>
            <w:r>
              <w:rPr>
                <w:rFonts w:hint="eastAsia" w:ascii="Times New Roman" w:hAnsi="Times New Roman" w:cs="Times New Roman"/>
                <w:color w:val="auto"/>
                <w:sz w:val="24"/>
                <w:szCs w:val="32"/>
                <w:highlight w:val="none"/>
                <w:lang w:val="en-US" w:eastAsia="zh-CN"/>
              </w:rPr>
              <w:t>5</w:t>
            </w:r>
            <w:r>
              <w:rPr>
                <w:rFonts w:ascii="Times New Roman" w:hAnsi="Times New Roman" w:cs="Times New Roman"/>
                <w:color w:val="auto"/>
                <w:sz w:val="24"/>
                <w:szCs w:val="32"/>
                <w:highlight w:val="none"/>
              </w:rPr>
              <w:t>0m，宽</w:t>
            </w:r>
            <w:r>
              <w:rPr>
                <w:rFonts w:hint="eastAsia" w:cs="Times New Roman"/>
                <w:color w:val="auto"/>
                <w:sz w:val="24"/>
                <w:szCs w:val="32"/>
                <w:highlight w:val="none"/>
                <w:lang w:val="en-US" w:eastAsia="zh-CN"/>
              </w:rPr>
              <w:t>8</w:t>
            </w:r>
            <w:r>
              <w:rPr>
                <w:rFonts w:ascii="Times New Roman" w:hAnsi="Times New Roman" w:cs="Times New Roman"/>
                <w:color w:val="auto"/>
                <w:sz w:val="24"/>
                <w:szCs w:val="32"/>
                <w:highlight w:val="none"/>
              </w:rPr>
              <w:t>m，高2.5m，体积为</w:t>
            </w:r>
            <w:r>
              <w:rPr>
                <w:rFonts w:hint="eastAsia" w:cs="Times New Roman"/>
                <w:color w:val="auto"/>
                <w:sz w:val="24"/>
                <w:szCs w:val="32"/>
                <w:highlight w:val="none"/>
                <w:lang w:val="en-US" w:eastAsia="zh-CN"/>
              </w:rPr>
              <w:t>10</w:t>
            </w:r>
            <w:r>
              <w:rPr>
                <w:rFonts w:ascii="Times New Roman" w:hAnsi="Times New Roman" w:cs="Times New Roman"/>
                <w:color w:val="auto"/>
                <w:sz w:val="24"/>
                <w:szCs w:val="32"/>
                <w:highlight w:val="none"/>
              </w:rPr>
              <w:t>00m</w:t>
            </w:r>
            <w:r>
              <w:rPr>
                <w:rFonts w:ascii="Times New Roman" w:hAnsi="Times New Roman" w:cs="Times New Roman"/>
                <w:color w:val="auto"/>
                <w:sz w:val="24"/>
                <w:szCs w:val="32"/>
                <w:highlight w:val="none"/>
                <w:vertAlign w:val="superscript"/>
              </w:rPr>
              <w:t>3</w:t>
            </w:r>
            <w:r>
              <w:rPr>
                <w:rFonts w:ascii="Times New Roman" w:hAnsi="Times New Roman" w:cs="Times New Roman"/>
                <w:color w:val="auto"/>
                <w:sz w:val="24"/>
                <w:szCs w:val="32"/>
                <w:highlight w:val="none"/>
              </w:rPr>
              <w:t>，排风机排放风量为</w:t>
            </w:r>
            <w:r>
              <w:rPr>
                <w:rFonts w:hint="eastAsia" w:cs="Times New Roman"/>
                <w:color w:val="auto"/>
                <w:sz w:val="24"/>
                <w:szCs w:val="32"/>
                <w:highlight w:val="none"/>
                <w:lang w:val="en-US" w:eastAsia="zh-CN"/>
              </w:rPr>
              <w:t>30</w:t>
            </w:r>
            <w:r>
              <w:rPr>
                <w:rFonts w:ascii="Times New Roman" w:hAnsi="Times New Roman" w:cs="Times New Roman"/>
                <w:color w:val="auto"/>
                <w:sz w:val="24"/>
                <w:szCs w:val="32"/>
                <w:highlight w:val="none"/>
              </w:rPr>
              <w:t>000m</w:t>
            </w:r>
            <w:r>
              <w:rPr>
                <w:rFonts w:ascii="Times New Roman" w:hAnsi="Times New Roman" w:cs="Times New Roman"/>
                <w:color w:val="auto"/>
                <w:sz w:val="24"/>
                <w:szCs w:val="32"/>
                <w:highlight w:val="none"/>
                <w:vertAlign w:val="superscript"/>
              </w:rPr>
              <w:t>3</w:t>
            </w:r>
            <w:r>
              <w:rPr>
                <w:rFonts w:ascii="Times New Roman" w:hAnsi="Times New Roman" w:cs="Times New Roman"/>
                <w:color w:val="auto"/>
                <w:sz w:val="24"/>
                <w:szCs w:val="32"/>
                <w:highlight w:val="none"/>
              </w:rPr>
              <w:t>/h，经计算，本项目伸缩式喷漆房内截面风速可达0.</w:t>
            </w:r>
            <w:r>
              <w:rPr>
                <w:rFonts w:hint="eastAsia" w:ascii="Times New Roman" w:hAnsi="Times New Roman" w:cs="Times New Roman"/>
                <w:color w:val="auto"/>
                <w:sz w:val="24"/>
                <w:szCs w:val="32"/>
                <w:highlight w:val="none"/>
                <w:lang w:val="en-US" w:eastAsia="zh-CN"/>
              </w:rPr>
              <w:t>4</w:t>
            </w:r>
            <w:r>
              <w:rPr>
                <w:rFonts w:hint="eastAsia" w:cs="Times New Roman"/>
                <w:color w:val="auto"/>
                <w:sz w:val="24"/>
                <w:szCs w:val="32"/>
                <w:highlight w:val="none"/>
                <w:lang w:val="en-US" w:eastAsia="zh-CN"/>
              </w:rPr>
              <w:t>2</w:t>
            </w:r>
            <w:r>
              <w:rPr>
                <w:rFonts w:ascii="Times New Roman" w:hAnsi="Times New Roman" w:cs="Times New Roman"/>
                <w:color w:val="auto"/>
                <w:sz w:val="24"/>
                <w:szCs w:val="32"/>
                <w:highlight w:val="none"/>
              </w:rPr>
              <w:t>m/s，每小时换风次数为</w:t>
            </w:r>
            <w:r>
              <w:rPr>
                <w:rFonts w:hint="eastAsia" w:cs="Times New Roman"/>
                <w:color w:val="auto"/>
                <w:sz w:val="24"/>
                <w:szCs w:val="32"/>
                <w:highlight w:val="none"/>
                <w:lang w:val="en-US" w:eastAsia="zh-CN"/>
              </w:rPr>
              <w:t>30</w:t>
            </w:r>
            <w:r>
              <w:rPr>
                <w:rFonts w:ascii="Times New Roman" w:hAnsi="Times New Roman" w:cs="Times New Roman"/>
                <w:color w:val="auto"/>
                <w:sz w:val="24"/>
                <w:szCs w:val="32"/>
                <w:highlight w:val="none"/>
              </w:rPr>
              <w:t>次，可视为负压收集，</w:t>
            </w:r>
            <w:r>
              <w:rPr>
                <w:rFonts w:hint="eastAsia" w:ascii="Times New Roman" w:hAnsi="Times New Roman" w:cs="Times New Roman"/>
                <w:color w:val="auto"/>
                <w:sz w:val="24"/>
                <w:szCs w:val="32"/>
                <w:highlight w:val="none"/>
              </w:rPr>
              <w:t>因伸缩式喷漆房与地面之前存有缝隙并且伸缩式喷漆房面积较大，</w:t>
            </w:r>
            <w:r>
              <w:rPr>
                <w:rFonts w:ascii="Times New Roman" w:hAnsi="Times New Roman" w:cs="Times New Roman"/>
                <w:color w:val="auto"/>
                <w:sz w:val="24"/>
                <w:szCs w:val="32"/>
                <w:highlight w:val="none"/>
              </w:rPr>
              <w:t>收集效率按</w:t>
            </w:r>
            <w:r>
              <w:rPr>
                <w:rFonts w:hint="eastAsia" w:ascii="Times New Roman" w:hAnsi="Times New Roman" w:cs="Times New Roman"/>
                <w:color w:val="auto"/>
                <w:sz w:val="24"/>
                <w:szCs w:val="32"/>
                <w:highlight w:val="none"/>
              </w:rPr>
              <w:t>9</w:t>
            </w:r>
            <w:r>
              <w:rPr>
                <w:rFonts w:hint="eastAsia" w:cs="Times New Roman"/>
                <w:color w:val="auto"/>
                <w:sz w:val="24"/>
                <w:szCs w:val="32"/>
                <w:highlight w:val="none"/>
                <w:lang w:val="en-US" w:eastAsia="zh-CN"/>
              </w:rPr>
              <w:t>7</w:t>
            </w:r>
            <w:r>
              <w:rPr>
                <w:rFonts w:ascii="Times New Roman" w:hAnsi="Times New Roman" w:cs="Times New Roman"/>
                <w:color w:val="auto"/>
                <w:sz w:val="24"/>
                <w:szCs w:val="32"/>
                <w:highlight w:val="none"/>
              </w:rPr>
              <w:t>%计</w:t>
            </w:r>
            <w:r>
              <w:rPr>
                <w:rFonts w:hint="eastAsia" w:ascii="Times New Roman" w:hAnsi="Times New Roman" w:cs="Times New Roman"/>
                <w:color w:val="auto"/>
                <w:sz w:val="24"/>
                <w:szCs w:val="32"/>
                <w:highlight w:val="none"/>
              </w:rPr>
              <w:t>，未收集的废气约占</w:t>
            </w:r>
            <w:r>
              <w:rPr>
                <w:rFonts w:hint="eastAsia" w:cs="Times New Roman"/>
                <w:color w:val="auto"/>
                <w:sz w:val="24"/>
                <w:szCs w:val="32"/>
                <w:highlight w:val="none"/>
                <w:lang w:val="en-US" w:eastAsia="zh-CN"/>
              </w:rPr>
              <w:t>3</w:t>
            </w:r>
            <w:r>
              <w:rPr>
                <w:rFonts w:hint="eastAsia" w:ascii="Times New Roman" w:hAnsi="Times New Roman" w:cs="Times New Roman"/>
                <w:color w:val="auto"/>
                <w:sz w:val="24"/>
                <w:szCs w:val="32"/>
                <w:highlight w:val="none"/>
              </w:rPr>
              <w:t>%，通过车间无组织排放</w:t>
            </w:r>
            <w:r>
              <w:rPr>
                <w:rFonts w:ascii="Times New Roman" w:hAnsi="Times New Roman" w:cs="Times New Roman"/>
                <w:color w:val="auto"/>
                <w:sz w:val="24"/>
                <w:szCs w:val="32"/>
                <w:highlight w:val="none"/>
              </w:rPr>
              <w:t>。</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工件在车间内部转运说明：沿厂房长度方向上采用天车转运，过跨采用低压电平车及托缆式电平车，零件采用3t叉车，部分构件采用5t叉车。本项目一次性将待涂装工件运进伸缩式喷漆房能覆盖工位，当待涂工件摆放好位置后（喷漆房地面已铺设地毡，已做好地面防护），伸缩移动式的前室沿导轨运行，覆盖住工件后，即可停止前室前进，工件进入涂漆房内的工作区域，关闭前门，此时已打开送风机和排风机，气流从上端向后侧的主机部分移动，环保设备正常开启稳定运行后，工人手持喷枪对工件进行喷涂，从而在表面形成致密的涂层，喷涂在的伸缩式喷漆房内进行，喷涂过程中不存在工件通过喷漆房进出的情况。喷漆过程中会产生有机废气G2（TRVOC、非甲烷总烃、二甲苯、臭气浓度、乙苯）、异味G3（臭气浓度、乙苯）和漆雾（颗粒物）G4，经伸缩式喷漆房内整体换风方式及微负压环境进行废气收集，</w:t>
            </w:r>
            <w:r>
              <w:rPr>
                <w:rFonts w:hint="eastAsia" w:ascii="Times New Roman" w:hAnsi="Times New Roman" w:cs="Times New Roman"/>
                <w:color w:val="auto"/>
                <w:sz w:val="24"/>
                <w:szCs w:val="32"/>
                <w:highlight w:val="none"/>
              </w:rPr>
              <w:t>因伸缩式喷漆房与地面之前存有缝隙并且伸缩式喷漆房面积较大，故</w:t>
            </w:r>
            <w:r>
              <w:rPr>
                <w:rFonts w:ascii="Times New Roman" w:hAnsi="Times New Roman" w:cs="Times New Roman"/>
                <w:color w:val="auto"/>
                <w:sz w:val="24"/>
                <w:szCs w:val="32"/>
                <w:highlight w:val="none"/>
              </w:rPr>
              <w:t>收集效率</w:t>
            </w:r>
            <w:r>
              <w:rPr>
                <w:rFonts w:hint="eastAsia" w:ascii="Times New Roman" w:hAnsi="Times New Roman" w:cs="Times New Roman"/>
                <w:color w:val="auto"/>
                <w:sz w:val="24"/>
                <w:szCs w:val="32"/>
                <w:highlight w:val="none"/>
              </w:rPr>
              <w:t>按9</w:t>
            </w:r>
            <w:r>
              <w:rPr>
                <w:rFonts w:hint="eastAsia" w:cs="Times New Roman"/>
                <w:color w:val="auto"/>
                <w:sz w:val="24"/>
                <w:szCs w:val="32"/>
                <w:highlight w:val="none"/>
                <w:lang w:val="en-US" w:eastAsia="zh-CN"/>
              </w:rPr>
              <w:t>7</w:t>
            </w:r>
            <w:r>
              <w:rPr>
                <w:rFonts w:ascii="Times New Roman" w:hAnsi="Times New Roman" w:cs="Times New Roman"/>
                <w:color w:val="auto"/>
                <w:sz w:val="24"/>
                <w:szCs w:val="32"/>
                <w:highlight w:val="none"/>
              </w:rPr>
              <w:t>%</w:t>
            </w:r>
            <w:r>
              <w:rPr>
                <w:rFonts w:hint="eastAsia" w:ascii="Times New Roman" w:hAnsi="Times New Roman" w:cs="Times New Roman"/>
                <w:color w:val="auto"/>
                <w:sz w:val="24"/>
                <w:szCs w:val="32"/>
                <w:highlight w:val="none"/>
              </w:rPr>
              <w:t>计</w:t>
            </w:r>
            <w:r>
              <w:rPr>
                <w:rFonts w:ascii="Times New Roman" w:hAnsi="Times New Roman" w:cs="Times New Roman"/>
                <w:color w:val="auto"/>
                <w:sz w:val="24"/>
                <w:szCs w:val="32"/>
                <w:highlight w:val="none"/>
              </w:rPr>
              <w:t>，采用伸缩式喷漆房内部排气口</w:t>
            </w:r>
            <w:r>
              <w:rPr>
                <w:rFonts w:hint="eastAsia" w:ascii="Times New Roman" w:hAnsi="Times New Roman" w:cs="Times New Roman"/>
                <w:color w:val="auto"/>
                <w:sz w:val="24"/>
                <w:szCs w:val="32"/>
                <w:highlight w:val="none"/>
                <w:lang w:val="en-US" w:eastAsia="zh-CN"/>
              </w:rPr>
              <w:t>水帘</w:t>
            </w:r>
            <w:r>
              <w:rPr>
                <w:rFonts w:ascii="Times New Roman" w:hAnsi="Times New Roman" w:cs="Times New Roman"/>
                <w:color w:val="auto"/>
                <w:sz w:val="24"/>
                <w:szCs w:val="32"/>
                <w:highlight w:val="none"/>
              </w:rPr>
              <w:t>+干式过滤棉进行漆雾的吸附净化，去除漆雾的废气通过管道进入1套</w:t>
            </w:r>
            <w:r>
              <w:rPr>
                <w:rFonts w:hint="eastAsia" w:cs="Times New Roman"/>
                <w:color w:val="auto"/>
                <w:sz w:val="24"/>
                <w:szCs w:val="32"/>
                <w:highlight w:val="none"/>
                <w:lang w:eastAsia="zh-CN"/>
              </w:rPr>
              <w:t>活性炭吸附、脱附催化燃烧</w:t>
            </w:r>
            <w:r>
              <w:rPr>
                <w:rFonts w:ascii="Times New Roman" w:hAnsi="Times New Roman" w:cs="Times New Roman"/>
                <w:color w:val="auto"/>
                <w:sz w:val="24"/>
                <w:szCs w:val="32"/>
                <w:highlight w:val="none"/>
              </w:rPr>
              <w:t>装置进行处理，</w:t>
            </w:r>
            <w:r>
              <w:rPr>
                <w:rFonts w:ascii="Times New Roman" w:hAnsi="Times New Roman" w:cs="Times New Roman"/>
                <w:color w:val="auto"/>
                <w:sz w:val="24"/>
                <w:highlight w:val="none"/>
              </w:rPr>
              <w:t>漆雾净化效率：</w:t>
            </w:r>
            <w:r>
              <w:rPr>
                <w:rFonts w:hint="eastAsia" w:ascii="Times New Roman" w:hAnsi="Times New Roman" w:cs="Times New Roman"/>
                <w:color w:val="auto"/>
                <w:sz w:val="24"/>
                <w:highlight w:val="none"/>
                <w:lang w:val="en-US" w:eastAsia="zh-CN"/>
              </w:rPr>
              <w:t>95</w:t>
            </w:r>
            <w:r>
              <w:rPr>
                <w:rFonts w:ascii="Times New Roman" w:hAnsi="Times New Roman" w:cs="Times New Roman"/>
                <w:color w:val="auto"/>
                <w:sz w:val="24"/>
                <w:highlight w:val="none"/>
              </w:rPr>
              <w:t>%，有机废气净化效率：活性炭吸附效率85%、催化燃烧效率97%，</w:t>
            </w:r>
            <w:r>
              <w:rPr>
                <w:rFonts w:ascii="Times New Roman" w:hAnsi="Times New Roman" w:cs="Times New Roman"/>
                <w:color w:val="auto"/>
                <w:sz w:val="24"/>
                <w:szCs w:val="32"/>
                <w:highlight w:val="none"/>
              </w:rPr>
              <w:t>处理后的废气通过1根</w:t>
            </w:r>
            <w:r>
              <w:rPr>
                <w:rFonts w:hint="eastAsia" w:ascii="Times New Roman" w:hAnsi="Times New Roman" w:cs="Times New Roman"/>
                <w:color w:val="auto"/>
                <w:sz w:val="24"/>
                <w:szCs w:val="32"/>
                <w:highlight w:val="none"/>
                <w:lang w:val="en-US" w:eastAsia="zh-CN"/>
              </w:rPr>
              <w:t>15</w:t>
            </w:r>
            <w:r>
              <w:rPr>
                <w:rFonts w:ascii="Times New Roman" w:hAnsi="Times New Roman" w:cs="Times New Roman"/>
                <w:color w:val="auto"/>
                <w:sz w:val="24"/>
                <w:szCs w:val="32"/>
                <w:highlight w:val="none"/>
              </w:rPr>
              <w:t>m高排气筒P</w:t>
            </w:r>
            <w:r>
              <w:rPr>
                <w:rFonts w:hint="eastAsia" w:ascii="Times New Roman" w:hAnsi="Times New Roman" w:cs="Times New Roman"/>
                <w:color w:val="auto"/>
                <w:sz w:val="24"/>
                <w:szCs w:val="32"/>
                <w:highlight w:val="none"/>
                <w:lang w:val="en-US" w:eastAsia="zh-CN"/>
              </w:rPr>
              <w:t>6</w:t>
            </w:r>
            <w:r>
              <w:rPr>
                <w:rFonts w:ascii="Times New Roman" w:hAnsi="Times New Roman" w:cs="Times New Roman"/>
                <w:color w:val="auto"/>
                <w:sz w:val="24"/>
                <w:szCs w:val="32"/>
                <w:highlight w:val="none"/>
              </w:rPr>
              <w:t>排放。</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喷漆过程会产生S6沾染布及手套和S7废地毡，作为危险废物暂存危险废物储存间，委托有危险废物处理资质的厂家进行处理。</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③晾干</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本项目晾干工序位于伸缩式喷漆房内</w:t>
            </w:r>
            <w:r>
              <w:rPr>
                <w:rFonts w:hint="eastAsia" w:ascii="Times New Roman" w:hAnsi="Times New Roman" w:cs="Times New Roman"/>
                <w:color w:val="auto"/>
                <w:sz w:val="24"/>
                <w:szCs w:val="32"/>
                <w:highlight w:val="none"/>
                <w:lang w:eastAsia="zh-CN"/>
              </w:rPr>
              <w:t>，</w:t>
            </w:r>
            <w:r>
              <w:rPr>
                <w:rFonts w:ascii="Times New Roman" w:hAnsi="Times New Roman" w:cs="Times New Roman"/>
                <w:color w:val="auto"/>
                <w:sz w:val="24"/>
                <w:szCs w:val="32"/>
                <w:highlight w:val="none"/>
              </w:rPr>
              <w:t>本项目固化过程采用自然晾干</w:t>
            </w:r>
            <w:r>
              <w:rPr>
                <w:rFonts w:hint="eastAsia" w:ascii="Times New Roman" w:hAnsi="Times New Roman" w:cs="Times New Roman"/>
                <w:color w:val="auto"/>
                <w:sz w:val="24"/>
                <w:szCs w:val="32"/>
                <w:highlight w:val="none"/>
                <w:lang w:eastAsia="zh-CN"/>
              </w:rPr>
              <w:t>，</w:t>
            </w:r>
            <w:r>
              <w:rPr>
                <w:rFonts w:hint="eastAsia" w:ascii="Times New Roman" w:hAnsi="Times New Roman" w:cs="Times New Roman"/>
                <w:color w:val="auto"/>
                <w:sz w:val="24"/>
                <w:szCs w:val="32"/>
                <w:highlight w:val="none"/>
                <w:lang w:val="en-US" w:eastAsia="zh-CN"/>
              </w:rPr>
              <w:t>考虑到冬季水性漆容易结冰，因此冬季在伸缩式喷漆房内设置电加热装置，维持伸缩式喷漆房内的温度满足晾干需求</w:t>
            </w:r>
            <w:r>
              <w:rPr>
                <w:rFonts w:ascii="Times New Roman" w:hAnsi="Times New Roman" w:cs="Times New Roman"/>
                <w:color w:val="auto"/>
                <w:sz w:val="24"/>
                <w:szCs w:val="32"/>
                <w:highlight w:val="none"/>
              </w:rPr>
              <w:t>。</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根据产品需要，本项目约</w:t>
            </w:r>
            <w:r>
              <w:rPr>
                <w:rFonts w:hint="eastAsia" w:ascii="Times New Roman" w:hAnsi="Times New Roman" w:cs="Times New Roman"/>
                <w:color w:val="auto"/>
                <w:sz w:val="24"/>
                <w:szCs w:val="32"/>
                <w:highlight w:val="none"/>
                <w:lang w:val="en-US" w:eastAsia="zh-CN"/>
              </w:rPr>
              <w:t>20</w:t>
            </w:r>
            <w:r>
              <w:rPr>
                <w:rFonts w:ascii="Times New Roman" w:hAnsi="Times New Roman" w:cs="Times New Roman"/>
                <w:color w:val="auto"/>
                <w:sz w:val="24"/>
                <w:szCs w:val="32"/>
                <w:highlight w:val="none"/>
              </w:rPr>
              <w:t>%产品需要喷涂</w:t>
            </w:r>
            <w:r>
              <w:rPr>
                <w:rFonts w:hint="eastAsia" w:ascii="Times New Roman" w:hAnsi="Times New Roman" w:cs="Times New Roman"/>
                <w:color w:val="auto"/>
                <w:sz w:val="24"/>
                <w:szCs w:val="32"/>
                <w:highlight w:val="none"/>
                <w:lang w:val="en-US" w:eastAsia="zh-CN"/>
              </w:rPr>
              <w:t>油性漆</w:t>
            </w:r>
            <w:r>
              <w:rPr>
                <w:rFonts w:ascii="Times New Roman" w:hAnsi="Times New Roman" w:cs="Times New Roman"/>
                <w:color w:val="auto"/>
                <w:sz w:val="24"/>
                <w:szCs w:val="32"/>
                <w:highlight w:val="none"/>
              </w:rPr>
              <w:t>，底漆漆膜厚度为</w:t>
            </w:r>
            <w:r>
              <w:rPr>
                <w:rFonts w:hint="eastAsia" w:ascii="Times New Roman" w:hAnsi="Times New Roman" w:cs="Times New Roman"/>
                <w:color w:val="auto"/>
                <w:sz w:val="24"/>
                <w:szCs w:val="32"/>
                <w:highlight w:val="none"/>
                <w:lang w:val="en-US" w:eastAsia="zh-CN"/>
              </w:rPr>
              <w:t>5</w:t>
            </w:r>
            <w:r>
              <w:rPr>
                <w:rFonts w:ascii="Times New Roman" w:hAnsi="Times New Roman" w:cs="Times New Roman"/>
                <w:color w:val="auto"/>
                <w:sz w:val="24"/>
                <w:szCs w:val="32"/>
                <w:highlight w:val="none"/>
              </w:rPr>
              <w:t>0μm</w:t>
            </w:r>
            <w:r>
              <w:rPr>
                <w:rFonts w:hint="eastAsia" w:ascii="Times New Roman" w:hAnsi="Times New Roman" w:cs="Times New Roman"/>
                <w:color w:val="auto"/>
                <w:sz w:val="24"/>
                <w:szCs w:val="32"/>
                <w:highlight w:val="none"/>
                <w:lang w:eastAsia="zh-CN"/>
              </w:rPr>
              <w:t>，</w:t>
            </w:r>
            <w:r>
              <w:rPr>
                <w:rFonts w:hint="eastAsia" w:cs="Times New Roman"/>
                <w:color w:val="auto"/>
                <w:sz w:val="24"/>
                <w:szCs w:val="32"/>
                <w:highlight w:val="none"/>
                <w:lang w:val="en-US" w:eastAsia="zh-CN"/>
              </w:rPr>
              <w:t>面漆</w:t>
            </w:r>
            <w:r>
              <w:rPr>
                <w:rFonts w:hint="eastAsia" w:ascii="Times New Roman" w:hAnsi="Times New Roman" w:cs="Times New Roman"/>
                <w:color w:val="auto"/>
                <w:sz w:val="24"/>
                <w:szCs w:val="32"/>
                <w:highlight w:val="none"/>
                <w:lang w:val="en-US" w:eastAsia="zh-CN"/>
              </w:rPr>
              <w:t>漆膜厚度为5</w:t>
            </w:r>
            <w:r>
              <w:rPr>
                <w:rFonts w:ascii="Times New Roman" w:hAnsi="Times New Roman" w:cs="Times New Roman"/>
                <w:color w:val="auto"/>
                <w:sz w:val="24"/>
                <w:szCs w:val="32"/>
                <w:highlight w:val="none"/>
              </w:rPr>
              <w:t>0μm</w:t>
            </w:r>
            <w:r>
              <w:rPr>
                <w:rFonts w:hint="eastAsia" w:ascii="Times New Roman" w:hAnsi="Times New Roman" w:cs="Times New Roman"/>
                <w:color w:val="auto"/>
                <w:sz w:val="24"/>
                <w:szCs w:val="32"/>
                <w:highlight w:val="none"/>
                <w:lang w:eastAsia="zh-CN"/>
              </w:rPr>
              <w:t>，</w:t>
            </w:r>
            <w:r>
              <w:rPr>
                <w:rFonts w:ascii="Times New Roman" w:hAnsi="Times New Roman" w:cs="Times New Roman"/>
                <w:color w:val="auto"/>
                <w:sz w:val="24"/>
                <w:szCs w:val="32"/>
                <w:highlight w:val="none"/>
              </w:rPr>
              <w:t>合计为</w:t>
            </w:r>
            <w:r>
              <w:rPr>
                <w:rFonts w:hint="eastAsia" w:ascii="Times New Roman" w:hAnsi="Times New Roman" w:cs="Times New Roman"/>
                <w:color w:val="auto"/>
                <w:sz w:val="24"/>
                <w:szCs w:val="32"/>
                <w:highlight w:val="none"/>
                <w:lang w:val="en-US" w:eastAsia="zh-CN"/>
              </w:rPr>
              <w:t>100</w:t>
            </w:r>
            <w:r>
              <w:rPr>
                <w:rFonts w:ascii="Times New Roman" w:hAnsi="Times New Roman" w:cs="Times New Roman"/>
                <w:color w:val="auto"/>
                <w:sz w:val="24"/>
                <w:szCs w:val="32"/>
                <w:highlight w:val="none"/>
              </w:rPr>
              <w:t>μm。调漆为0.5h，底漆喷涂时间为</w:t>
            </w:r>
            <w:r>
              <w:rPr>
                <w:rFonts w:hint="eastAsia" w:cs="Times New Roman"/>
                <w:color w:val="auto"/>
                <w:sz w:val="24"/>
                <w:szCs w:val="32"/>
                <w:highlight w:val="none"/>
                <w:lang w:val="en-US" w:eastAsia="zh-CN"/>
              </w:rPr>
              <w:t>3</w:t>
            </w:r>
            <w:r>
              <w:rPr>
                <w:rFonts w:ascii="Times New Roman" w:hAnsi="Times New Roman" w:cs="Times New Roman"/>
                <w:color w:val="auto"/>
                <w:sz w:val="24"/>
                <w:szCs w:val="32"/>
                <w:highlight w:val="none"/>
              </w:rPr>
              <w:t>h，底漆喷涂完后晾干</w:t>
            </w:r>
            <w:r>
              <w:rPr>
                <w:rFonts w:hint="eastAsia" w:ascii="Times New Roman" w:hAnsi="Times New Roman" w:cs="Times New Roman"/>
                <w:color w:val="auto"/>
                <w:sz w:val="24"/>
                <w:szCs w:val="32"/>
                <w:highlight w:val="none"/>
                <w:lang w:val="en-US" w:eastAsia="zh-CN"/>
              </w:rPr>
              <w:t>3</w:t>
            </w:r>
            <w:r>
              <w:rPr>
                <w:rFonts w:ascii="Times New Roman" w:hAnsi="Times New Roman" w:cs="Times New Roman"/>
                <w:color w:val="auto"/>
                <w:sz w:val="24"/>
                <w:szCs w:val="32"/>
                <w:highlight w:val="none"/>
              </w:rPr>
              <w:t>h，</w:t>
            </w:r>
            <w:r>
              <w:rPr>
                <w:rFonts w:hint="eastAsia" w:cs="Times New Roman"/>
                <w:color w:val="auto"/>
                <w:sz w:val="24"/>
                <w:szCs w:val="32"/>
                <w:highlight w:val="none"/>
                <w:lang w:val="en-US" w:eastAsia="zh-CN"/>
              </w:rPr>
              <w:t>面漆</w:t>
            </w:r>
            <w:r>
              <w:rPr>
                <w:rFonts w:ascii="Times New Roman" w:hAnsi="Times New Roman" w:cs="Times New Roman"/>
                <w:color w:val="auto"/>
                <w:sz w:val="24"/>
                <w:szCs w:val="32"/>
                <w:highlight w:val="none"/>
              </w:rPr>
              <w:t>喷涂时间为</w:t>
            </w:r>
            <w:r>
              <w:rPr>
                <w:rFonts w:hint="eastAsia" w:cs="Times New Roman"/>
                <w:color w:val="auto"/>
                <w:sz w:val="24"/>
                <w:szCs w:val="32"/>
                <w:highlight w:val="none"/>
                <w:lang w:val="en-US" w:eastAsia="zh-CN"/>
              </w:rPr>
              <w:t>3</w:t>
            </w:r>
            <w:r>
              <w:rPr>
                <w:rFonts w:ascii="Times New Roman" w:hAnsi="Times New Roman" w:cs="Times New Roman"/>
                <w:color w:val="auto"/>
                <w:sz w:val="24"/>
                <w:szCs w:val="32"/>
                <w:highlight w:val="none"/>
              </w:rPr>
              <w:t>h，</w:t>
            </w:r>
            <w:r>
              <w:rPr>
                <w:rFonts w:hint="eastAsia" w:cs="Times New Roman"/>
                <w:color w:val="auto"/>
                <w:sz w:val="24"/>
                <w:szCs w:val="32"/>
                <w:highlight w:val="none"/>
                <w:lang w:val="en-US" w:eastAsia="zh-CN"/>
              </w:rPr>
              <w:t>面漆</w:t>
            </w:r>
            <w:r>
              <w:rPr>
                <w:rFonts w:ascii="Times New Roman" w:hAnsi="Times New Roman" w:cs="Times New Roman"/>
                <w:color w:val="auto"/>
                <w:sz w:val="24"/>
                <w:szCs w:val="32"/>
                <w:highlight w:val="none"/>
              </w:rPr>
              <w:t>喷涂完后晾干</w:t>
            </w:r>
            <w:r>
              <w:rPr>
                <w:rFonts w:hint="eastAsia" w:ascii="Times New Roman" w:hAnsi="Times New Roman" w:cs="Times New Roman"/>
                <w:color w:val="auto"/>
                <w:sz w:val="24"/>
                <w:szCs w:val="32"/>
                <w:highlight w:val="none"/>
                <w:lang w:val="en-US" w:eastAsia="zh-CN"/>
              </w:rPr>
              <w:t>10</w:t>
            </w:r>
            <w:r>
              <w:rPr>
                <w:rFonts w:ascii="Times New Roman" w:hAnsi="Times New Roman" w:cs="Times New Roman"/>
                <w:color w:val="auto"/>
                <w:sz w:val="24"/>
                <w:szCs w:val="32"/>
                <w:highlight w:val="none"/>
              </w:rPr>
              <w:t>h，整个过程持续1</w:t>
            </w:r>
            <w:r>
              <w:rPr>
                <w:rFonts w:hint="eastAsia" w:cs="Times New Roman"/>
                <w:color w:val="auto"/>
                <w:sz w:val="24"/>
                <w:szCs w:val="32"/>
                <w:highlight w:val="none"/>
                <w:lang w:val="en-US" w:eastAsia="zh-CN"/>
              </w:rPr>
              <w:t>9</w:t>
            </w:r>
            <w:r>
              <w:rPr>
                <w:rFonts w:ascii="Times New Roman" w:hAnsi="Times New Roman" w:cs="Times New Roman"/>
                <w:color w:val="auto"/>
                <w:sz w:val="24"/>
                <w:szCs w:val="32"/>
                <w:highlight w:val="none"/>
              </w:rPr>
              <w:t>.5h。</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根据产品需要，</w:t>
            </w:r>
            <w:r>
              <w:rPr>
                <w:rFonts w:hint="eastAsia" w:ascii="Times New Roman" w:hAnsi="Times New Roman" w:cs="Times New Roman"/>
                <w:color w:val="auto"/>
                <w:sz w:val="24"/>
                <w:szCs w:val="32"/>
                <w:highlight w:val="none"/>
                <w:lang w:val="en-US" w:eastAsia="zh-CN"/>
              </w:rPr>
              <w:t>80</w:t>
            </w:r>
            <w:r>
              <w:rPr>
                <w:rFonts w:ascii="Times New Roman" w:hAnsi="Times New Roman" w:cs="Times New Roman"/>
                <w:color w:val="auto"/>
                <w:sz w:val="24"/>
                <w:szCs w:val="32"/>
                <w:highlight w:val="none"/>
              </w:rPr>
              <w:t>%产品需要喷涂</w:t>
            </w:r>
            <w:r>
              <w:rPr>
                <w:rFonts w:hint="eastAsia" w:ascii="Times New Roman" w:hAnsi="Times New Roman" w:cs="Times New Roman"/>
                <w:color w:val="auto"/>
                <w:sz w:val="24"/>
                <w:szCs w:val="32"/>
                <w:highlight w:val="none"/>
                <w:lang w:val="en-US" w:eastAsia="zh-CN"/>
              </w:rPr>
              <w:t>水性</w:t>
            </w:r>
            <w:r>
              <w:rPr>
                <w:rFonts w:ascii="Times New Roman" w:hAnsi="Times New Roman" w:cs="Times New Roman"/>
                <w:color w:val="auto"/>
                <w:sz w:val="24"/>
                <w:szCs w:val="32"/>
                <w:highlight w:val="none"/>
              </w:rPr>
              <w:t>漆，底漆喷涂一遍，</w:t>
            </w:r>
            <w:r>
              <w:rPr>
                <w:rFonts w:hint="eastAsia" w:ascii="Times New Roman" w:hAnsi="Times New Roman" w:cs="Times New Roman"/>
                <w:color w:val="auto"/>
                <w:sz w:val="24"/>
                <w:szCs w:val="32"/>
                <w:highlight w:val="none"/>
                <w:lang w:val="en-US" w:eastAsia="zh-CN"/>
              </w:rPr>
              <w:t>面</w:t>
            </w:r>
            <w:r>
              <w:rPr>
                <w:rFonts w:ascii="Times New Roman" w:hAnsi="Times New Roman" w:cs="Times New Roman"/>
                <w:color w:val="auto"/>
                <w:sz w:val="24"/>
                <w:szCs w:val="32"/>
                <w:highlight w:val="none"/>
              </w:rPr>
              <w:t>漆喷涂一遍，漆膜厚度均为</w:t>
            </w:r>
            <w:r>
              <w:rPr>
                <w:rFonts w:hint="eastAsia" w:ascii="Times New Roman" w:hAnsi="Times New Roman" w:cs="Times New Roman"/>
                <w:color w:val="auto"/>
                <w:sz w:val="24"/>
                <w:szCs w:val="32"/>
                <w:highlight w:val="none"/>
                <w:lang w:val="en-US" w:eastAsia="zh-CN"/>
              </w:rPr>
              <w:t>50</w:t>
            </w:r>
            <w:r>
              <w:rPr>
                <w:rFonts w:ascii="Times New Roman" w:hAnsi="Times New Roman" w:cs="Times New Roman"/>
                <w:color w:val="auto"/>
                <w:sz w:val="24"/>
                <w:szCs w:val="32"/>
                <w:highlight w:val="none"/>
              </w:rPr>
              <w:t>μm，合计为</w:t>
            </w:r>
            <w:r>
              <w:rPr>
                <w:rFonts w:hint="eastAsia" w:ascii="Times New Roman" w:hAnsi="Times New Roman" w:cs="Times New Roman"/>
                <w:color w:val="auto"/>
                <w:sz w:val="24"/>
                <w:szCs w:val="32"/>
                <w:highlight w:val="none"/>
                <w:lang w:val="en-US" w:eastAsia="zh-CN"/>
              </w:rPr>
              <w:t>100</w:t>
            </w:r>
            <w:r>
              <w:rPr>
                <w:rFonts w:ascii="Times New Roman" w:hAnsi="Times New Roman" w:cs="Times New Roman"/>
                <w:color w:val="auto"/>
                <w:sz w:val="24"/>
                <w:szCs w:val="32"/>
                <w:highlight w:val="none"/>
              </w:rPr>
              <w:t>μm。调漆时间为0.5h，底漆喷涂时间</w:t>
            </w:r>
            <w:r>
              <w:rPr>
                <w:rFonts w:hint="eastAsia" w:cs="Times New Roman"/>
                <w:color w:val="auto"/>
                <w:sz w:val="24"/>
                <w:szCs w:val="32"/>
                <w:highlight w:val="none"/>
                <w:lang w:val="en-US" w:eastAsia="zh-CN"/>
              </w:rPr>
              <w:t>3</w:t>
            </w:r>
            <w:r>
              <w:rPr>
                <w:rFonts w:ascii="Times New Roman" w:hAnsi="Times New Roman" w:cs="Times New Roman"/>
                <w:color w:val="auto"/>
                <w:sz w:val="24"/>
                <w:szCs w:val="32"/>
                <w:highlight w:val="none"/>
              </w:rPr>
              <w:t>h，底漆喷涂完后晾干3h再喷涂</w:t>
            </w:r>
            <w:r>
              <w:rPr>
                <w:rFonts w:hint="eastAsia" w:ascii="Times New Roman" w:hAnsi="Times New Roman" w:cs="Times New Roman"/>
                <w:color w:val="auto"/>
                <w:sz w:val="24"/>
                <w:szCs w:val="32"/>
                <w:highlight w:val="none"/>
                <w:lang w:val="en-US" w:eastAsia="zh-CN"/>
              </w:rPr>
              <w:t>面</w:t>
            </w:r>
            <w:r>
              <w:rPr>
                <w:rFonts w:ascii="Times New Roman" w:hAnsi="Times New Roman" w:cs="Times New Roman"/>
                <w:color w:val="auto"/>
                <w:sz w:val="24"/>
                <w:szCs w:val="32"/>
                <w:highlight w:val="none"/>
              </w:rPr>
              <w:t>漆，</w:t>
            </w:r>
            <w:r>
              <w:rPr>
                <w:rFonts w:hint="eastAsia" w:ascii="Times New Roman" w:hAnsi="Times New Roman" w:cs="Times New Roman"/>
                <w:color w:val="auto"/>
                <w:sz w:val="24"/>
                <w:szCs w:val="32"/>
                <w:highlight w:val="none"/>
                <w:lang w:val="en-US" w:eastAsia="zh-CN"/>
              </w:rPr>
              <w:t>面</w:t>
            </w:r>
            <w:r>
              <w:rPr>
                <w:rFonts w:ascii="Times New Roman" w:hAnsi="Times New Roman" w:cs="Times New Roman"/>
                <w:color w:val="auto"/>
                <w:sz w:val="24"/>
                <w:szCs w:val="32"/>
                <w:highlight w:val="none"/>
              </w:rPr>
              <w:t>漆喷涂时间为</w:t>
            </w:r>
            <w:r>
              <w:rPr>
                <w:rFonts w:hint="eastAsia" w:cs="Times New Roman"/>
                <w:color w:val="auto"/>
                <w:sz w:val="24"/>
                <w:szCs w:val="32"/>
                <w:highlight w:val="none"/>
                <w:lang w:val="en-US" w:eastAsia="zh-CN"/>
              </w:rPr>
              <w:t>3</w:t>
            </w:r>
            <w:r>
              <w:rPr>
                <w:rFonts w:ascii="Times New Roman" w:hAnsi="Times New Roman" w:cs="Times New Roman"/>
                <w:color w:val="auto"/>
                <w:sz w:val="24"/>
                <w:szCs w:val="32"/>
                <w:highlight w:val="none"/>
              </w:rPr>
              <w:t>h，</w:t>
            </w:r>
            <w:r>
              <w:rPr>
                <w:rFonts w:hint="eastAsia" w:ascii="Times New Roman" w:hAnsi="Times New Roman" w:cs="Times New Roman"/>
                <w:color w:val="auto"/>
                <w:sz w:val="24"/>
                <w:szCs w:val="32"/>
                <w:highlight w:val="none"/>
                <w:lang w:val="en-US" w:eastAsia="zh-CN"/>
              </w:rPr>
              <w:t>面</w:t>
            </w:r>
            <w:r>
              <w:rPr>
                <w:rFonts w:ascii="Times New Roman" w:hAnsi="Times New Roman" w:cs="Times New Roman"/>
                <w:color w:val="auto"/>
                <w:sz w:val="24"/>
                <w:szCs w:val="32"/>
                <w:highlight w:val="none"/>
              </w:rPr>
              <w:t>漆喷涂完产品需要在伸缩式喷漆房内晾干</w:t>
            </w:r>
            <w:r>
              <w:rPr>
                <w:rFonts w:hint="eastAsia" w:ascii="Times New Roman" w:hAnsi="Times New Roman" w:cs="Times New Roman"/>
                <w:color w:val="auto"/>
                <w:sz w:val="24"/>
                <w:szCs w:val="32"/>
                <w:highlight w:val="none"/>
                <w:lang w:val="en-US" w:eastAsia="zh-CN"/>
              </w:rPr>
              <w:t>5</w:t>
            </w:r>
            <w:r>
              <w:rPr>
                <w:rFonts w:ascii="Times New Roman" w:hAnsi="Times New Roman" w:cs="Times New Roman"/>
                <w:color w:val="auto"/>
                <w:sz w:val="24"/>
                <w:szCs w:val="32"/>
                <w:highlight w:val="none"/>
              </w:rPr>
              <w:t>小时，整个过程持续1</w:t>
            </w:r>
            <w:r>
              <w:rPr>
                <w:rFonts w:hint="eastAsia" w:cs="Times New Roman"/>
                <w:color w:val="auto"/>
                <w:sz w:val="24"/>
                <w:szCs w:val="32"/>
                <w:highlight w:val="none"/>
                <w:lang w:val="en-US" w:eastAsia="zh-CN"/>
              </w:rPr>
              <w:t>4</w:t>
            </w:r>
            <w:r>
              <w:rPr>
                <w:rFonts w:ascii="Times New Roman" w:hAnsi="Times New Roman" w:cs="Times New Roman"/>
                <w:color w:val="auto"/>
                <w:sz w:val="24"/>
                <w:szCs w:val="32"/>
                <w:highlight w:val="none"/>
              </w:rPr>
              <w:t xml:space="preserve">.5h。 </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喷涂工序在伸缩式喷漆房中喷涂工位进行喷涂，工件喷漆完毕后就地在喷漆房内进行晾干，不进行转移。本项目</w:t>
            </w:r>
            <w:r>
              <w:rPr>
                <w:rFonts w:hint="eastAsia" w:ascii="Times New Roman" w:hAnsi="Times New Roman" w:cs="Times New Roman"/>
                <w:color w:val="auto"/>
                <w:sz w:val="24"/>
                <w:szCs w:val="32"/>
                <w:highlight w:val="none"/>
                <w:lang w:val="en-US" w:eastAsia="zh-CN"/>
              </w:rPr>
              <w:t>1</w:t>
            </w:r>
            <w:r>
              <w:rPr>
                <w:rFonts w:ascii="Times New Roman" w:hAnsi="Times New Roman" w:cs="Times New Roman"/>
                <w:color w:val="auto"/>
                <w:sz w:val="24"/>
                <w:szCs w:val="32"/>
                <w:highlight w:val="none"/>
              </w:rPr>
              <w:t>套伸缩式喷漆房，为了保证产品漆膜质量不受影响，喷漆房内喷漆和晾干工序不会同时进行。为确保有机废气全部经环保治理设备净化，</w:t>
            </w:r>
            <w:r>
              <w:rPr>
                <w:rFonts w:hint="eastAsia" w:ascii="Times New Roman" w:hAnsi="Times New Roman" w:cs="Times New Roman"/>
                <w:color w:val="auto"/>
                <w:sz w:val="24"/>
                <w:szCs w:val="32"/>
                <w:highlight w:val="none"/>
                <w:lang w:val="en-US" w:eastAsia="zh-CN"/>
              </w:rPr>
              <w:t>喷油性漆时</w:t>
            </w:r>
            <w:r>
              <w:rPr>
                <w:rFonts w:hint="eastAsia" w:ascii="Times New Roman" w:hAnsi="Times New Roman" w:cs="Times New Roman"/>
                <w:color w:val="auto"/>
                <w:sz w:val="24"/>
                <w:szCs w:val="32"/>
                <w:highlight w:val="none"/>
              </w:rPr>
              <w:t>环保设施</w:t>
            </w:r>
            <w:r>
              <w:rPr>
                <w:rFonts w:ascii="Times New Roman" w:hAnsi="Times New Roman" w:cs="Times New Roman"/>
                <w:color w:val="auto"/>
                <w:sz w:val="24"/>
                <w:szCs w:val="32"/>
                <w:highlight w:val="none"/>
              </w:rPr>
              <w:t>运行时间按</w:t>
            </w:r>
            <w:r>
              <w:rPr>
                <w:rFonts w:hint="eastAsia" w:cs="Times New Roman"/>
                <w:color w:val="auto"/>
                <w:sz w:val="24"/>
                <w:szCs w:val="32"/>
                <w:highlight w:val="none"/>
                <w:lang w:val="en-US" w:eastAsia="zh-CN"/>
              </w:rPr>
              <w:t>20</w:t>
            </w:r>
            <w:r>
              <w:rPr>
                <w:rFonts w:ascii="Times New Roman" w:hAnsi="Times New Roman" w:cs="Times New Roman"/>
                <w:color w:val="auto"/>
                <w:sz w:val="24"/>
                <w:szCs w:val="32"/>
                <w:highlight w:val="none"/>
              </w:rPr>
              <w:t>h/d计</w:t>
            </w:r>
            <w:r>
              <w:rPr>
                <w:rFonts w:hint="eastAsia" w:ascii="Times New Roman" w:hAnsi="Times New Roman" w:cs="Times New Roman"/>
                <w:color w:val="auto"/>
                <w:sz w:val="24"/>
                <w:szCs w:val="32"/>
                <w:highlight w:val="none"/>
                <w:lang w:eastAsia="zh-CN"/>
              </w:rPr>
              <w:t>，</w:t>
            </w:r>
            <w:r>
              <w:rPr>
                <w:rFonts w:hint="eastAsia" w:ascii="Times New Roman" w:hAnsi="Times New Roman" w:cs="Times New Roman"/>
                <w:color w:val="auto"/>
                <w:sz w:val="24"/>
                <w:szCs w:val="32"/>
                <w:highlight w:val="none"/>
                <w:lang w:val="en-US" w:eastAsia="zh-CN"/>
              </w:rPr>
              <w:t>喷水性漆时</w:t>
            </w:r>
            <w:r>
              <w:rPr>
                <w:rFonts w:hint="eastAsia" w:ascii="Times New Roman" w:hAnsi="Times New Roman" w:cs="Times New Roman"/>
                <w:color w:val="auto"/>
                <w:sz w:val="24"/>
                <w:szCs w:val="32"/>
                <w:highlight w:val="none"/>
              </w:rPr>
              <w:t>环保设施</w:t>
            </w:r>
            <w:r>
              <w:rPr>
                <w:rFonts w:ascii="Times New Roman" w:hAnsi="Times New Roman" w:cs="Times New Roman"/>
                <w:color w:val="auto"/>
                <w:sz w:val="24"/>
                <w:szCs w:val="32"/>
                <w:highlight w:val="none"/>
              </w:rPr>
              <w:t>运行时间按</w:t>
            </w:r>
            <w:r>
              <w:rPr>
                <w:rFonts w:hint="eastAsia" w:cs="Times New Roman"/>
                <w:color w:val="auto"/>
                <w:sz w:val="24"/>
                <w:szCs w:val="32"/>
                <w:highlight w:val="none"/>
                <w:lang w:val="en-US" w:eastAsia="zh-CN"/>
              </w:rPr>
              <w:t>15</w:t>
            </w:r>
            <w:r>
              <w:rPr>
                <w:rFonts w:ascii="Times New Roman" w:hAnsi="Times New Roman" w:cs="Times New Roman"/>
                <w:color w:val="auto"/>
                <w:sz w:val="24"/>
                <w:szCs w:val="32"/>
                <w:highlight w:val="none"/>
              </w:rPr>
              <w:t>h/d计。根据本项目产品方案，喷涂</w:t>
            </w:r>
            <w:r>
              <w:rPr>
                <w:rFonts w:hint="eastAsia" w:ascii="Times New Roman" w:hAnsi="Times New Roman" w:cs="Times New Roman"/>
                <w:color w:val="auto"/>
                <w:sz w:val="24"/>
                <w:szCs w:val="32"/>
                <w:highlight w:val="none"/>
                <w:lang w:val="en-US" w:eastAsia="zh-CN"/>
              </w:rPr>
              <w:t>油性</w:t>
            </w:r>
            <w:r>
              <w:rPr>
                <w:rFonts w:ascii="Times New Roman" w:hAnsi="Times New Roman" w:cs="Times New Roman"/>
                <w:color w:val="auto"/>
                <w:sz w:val="24"/>
                <w:szCs w:val="32"/>
                <w:highlight w:val="none"/>
              </w:rPr>
              <w:t>漆产品占用生产天数为</w:t>
            </w:r>
            <w:r>
              <w:rPr>
                <w:rFonts w:hint="eastAsia" w:ascii="Times New Roman" w:hAnsi="Times New Roman" w:cs="Times New Roman"/>
                <w:color w:val="auto"/>
                <w:sz w:val="24"/>
                <w:szCs w:val="32"/>
                <w:highlight w:val="none"/>
                <w:lang w:val="en-US" w:eastAsia="zh-CN"/>
              </w:rPr>
              <w:t>60</w:t>
            </w:r>
            <w:r>
              <w:rPr>
                <w:rFonts w:ascii="Times New Roman" w:hAnsi="Times New Roman" w:cs="Times New Roman"/>
                <w:color w:val="auto"/>
                <w:sz w:val="24"/>
                <w:szCs w:val="32"/>
                <w:highlight w:val="none"/>
              </w:rPr>
              <w:t>d/a，喷涂</w:t>
            </w:r>
            <w:r>
              <w:rPr>
                <w:rFonts w:hint="eastAsia" w:ascii="Times New Roman" w:hAnsi="Times New Roman" w:cs="Times New Roman"/>
                <w:color w:val="auto"/>
                <w:sz w:val="24"/>
                <w:szCs w:val="32"/>
                <w:highlight w:val="none"/>
                <w:lang w:val="en-US" w:eastAsia="zh-CN"/>
              </w:rPr>
              <w:t>水性</w:t>
            </w:r>
            <w:r>
              <w:rPr>
                <w:rFonts w:ascii="Times New Roman" w:hAnsi="Times New Roman" w:cs="Times New Roman"/>
                <w:color w:val="auto"/>
                <w:sz w:val="24"/>
                <w:szCs w:val="32"/>
                <w:highlight w:val="none"/>
              </w:rPr>
              <w:t>漆产品占用天数为</w:t>
            </w:r>
            <w:r>
              <w:rPr>
                <w:rFonts w:hint="eastAsia" w:ascii="Times New Roman" w:hAnsi="Times New Roman" w:cs="Times New Roman"/>
                <w:color w:val="auto"/>
                <w:sz w:val="24"/>
                <w:szCs w:val="32"/>
                <w:highlight w:val="none"/>
                <w:lang w:val="en-US" w:eastAsia="zh-CN"/>
              </w:rPr>
              <w:t>240</w:t>
            </w:r>
            <w:r>
              <w:rPr>
                <w:rFonts w:ascii="Times New Roman" w:hAnsi="Times New Roman" w:cs="Times New Roman"/>
                <w:color w:val="auto"/>
                <w:sz w:val="24"/>
                <w:szCs w:val="32"/>
                <w:highlight w:val="none"/>
              </w:rPr>
              <w:t>d/a。</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整个晾干过程中不存在工件通过喷漆房进出的情况，待工件漆膜晾干后，用天车、电平车、叉车移出伸缩式涂漆房，待售。晾干过程中会产生有机废气G2（TRVOC、非甲烷总烃、二甲苯、臭气浓度、乙苯）和异味G3（臭气浓度、乙苯），经伸缩式喷漆房内整体换风方式及微负压环境进行废气收集，</w:t>
            </w:r>
            <w:r>
              <w:rPr>
                <w:rFonts w:hint="eastAsia" w:ascii="Times New Roman" w:hAnsi="Times New Roman" w:cs="Times New Roman"/>
                <w:color w:val="auto"/>
                <w:sz w:val="24"/>
                <w:szCs w:val="32"/>
                <w:highlight w:val="none"/>
              </w:rPr>
              <w:t>因伸缩式喷漆房与地面之前存有缝隙并且伸缩式喷漆房面积较大，故</w:t>
            </w:r>
            <w:r>
              <w:rPr>
                <w:rFonts w:ascii="Times New Roman" w:hAnsi="Times New Roman" w:cs="Times New Roman"/>
                <w:color w:val="auto"/>
                <w:sz w:val="24"/>
                <w:szCs w:val="32"/>
                <w:highlight w:val="none"/>
              </w:rPr>
              <w:t>收集效率</w:t>
            </w:r>
            <w:r>
              <w:rPr>
                <w:rFonts w:hint="eastAsia" w:ascii="Times New Roman" w:hAnsi="Times New Roman" w:cs="Times New Roman"/>
                <w:color w:val="auto"/>
                <w:sz w:val="24"/>
                <w:szCs w:val="32"/>
                <w:highlight w:val="none"/>
              </w:rPr>
              <w:t>按9</w:t>
            </w:r>
            <w:r>
              <w:rPr>
                <w:rFonts w:hint="eastAsia" w:cs="Times New Roman"/>
                <w:color w:val="auto"/>
                <w:sz w:val="24"/>
                <w:szCs w:val="32"/>
                <w:highlight w:val="none"/>
                <w:lang w:val="en-US" w:eastAsia="zh-CN"/>
              </w:rPr>
              <w:t>7</w:t>
            </w:r>
            <w:r>
              <w:rPr>
                <w:rFonts w:ascii="Times New Roman" w:hAnsi="Times New Roman" w:cs="Times New Roman"/>
                <w:color w:val="auto"/>
                <w:sz w:val="24"/>
                <w:szCs w:val="32"/>
                <w:highlight w:val="none"/>
              </w:rPr>
              <w:t>%</w:t>
            </w:r>
            <w:r>
              <w:rPr>
                <w:rFonts w:hint="eastAsia" w:ascii="Times New Roman" w:hAnsi="Times New Roman" w:cs="Times New Roman"/>
                <w:color w:val="auto"/>
                <w:sz w:val="24"/>
                <w:szCs w:val="32"/>
                <w:highlight w:val="none"/>
              </w:rPr>
              <w:t>计，未收集的废气约占</w:t>
            </w:r>
            <w:r>
              <w:rPr>
                <w:rFonts w:hint="eastAsia" w:cs="Times New Roman"/>
                <w:color w:val="auto"/>
                <w:sz w:val="24"/>
                <w:szCs w:val="32"/>
                <w:highlight w:val="none"/>
                <w:lang w:val="en-US" w:eastAsia="zh-CN"/>
              </w:rPr>
              <w:t>3</w:t>
            </w:r>
            <w:r>
              <w:rPr>
                <w:rFonts w:hint="eastAsia" w:ascii="Times New Roman" w:hAnsi="Times New Roman" w:cs="Times New Roman"/>
                <w:color w:val="auto"/>
                <w:sz w:val="24"/>
                <w:szCs w:val="32"/>
                <w:highlight w:val="none"/>
              </w:rPr>
              <w:t>%，通过车间无组织排放，</w:t>
            </w:r>
            <w:r>
              <w:rPr>
                <w:rFonts w:ascii="Times New Roman" w:hAnsi="Times New Roman" w:cs="Times New Roman"/>
                <w:color w:val="auto"/>
                <w:sz w:val="24"/>
                <w:szCs w:val="32"/>
                <w:highlight w:val="none"/>
              </w:rPr>
              <w:t>收集的废气通过排风口</w:t>
            </w:r>
            <w:r>
              <w:rPr>
                <w:rFonts w:hint="eastAsia" w:ascii="Times New Roman" w:hAnsi="Times New Roman" w:cs="Times New Roman"/>
                <w:color w:val="auto"/>
                <w:sz w:val="24"/>
                <w:szCs w:val="32"/>
                <w:highlight w:val="none"/>
                <w:lang w:val="en-US" w:eastAsia="zh-CN"/>
              </w:rPr>
              <w:t>水帘</w:t>
            </w:r>
            <w:r>
              <w:rPr>
                <w:rFonts w:ascii="Times New Roman" w:hAnsi="Times New Roman" w:cs="Times New Roman"/>
                <w:color w:val="auto"/>
                <w:sz w:val="24"/>
                <w:szCs w:val="32"/>
                <w:highlight w:val="none"/>
              </w:rPr>
              <w:t>后进入1套干式过滤棉+</w:t>
            </w:r>
            <w:r>
              <w:rPr>
                <w:rFonts w:hint="eastAsia" w:cs="Times New Roman"/>
                <w:color w:val="auto"/>
                <w:sz w:val="24"/>
                <w:szCs w:val="32"/>
                <w:highlight w:val="none"/>
                <w:lang w:eastAsia="zh-CN"/>
              </w:rPr>
              <w:t>活性炭吸附、脱附催化燃烧</w:t>
            </w:r>
            <w:r>
              <w:rPr>
                <w:rFonts w:ascii="Times New Roman" w:hAnsi="Times New Roman" w:cs="Times New Roman"/>
                <w:color w:val="auto"/>
                <w:sz w:val="24"/>
                <w:szCs w:val="32"/>
                <w:highlight w:val="none"/>
              </w:rPr>
              <w:t>装置处理后，通过1根</w:t>
            </w:r>
            <w:r>
              <w:rPr>
                <w:rFonts w:hint="eastAsia" w:ascii="Times New Roman" w:hAnsi="Times New Roman" w:cs="Times New Roman"/>
                <w:color w:val="auto"/>
                <w:sz w:val="24"/>
                <w:szCs w:val="32"/>
                <w:highlight w:val="none"/>
                <w:lang w:val="en-US" w:eastAsia="zh-CN"/>
              </w:rPr>
              <w:t>15</w:t>
            </w:r>
            <w:r>
              <w:rPr>
                <w:rFonts w:ascii="Times New Roman" w:hAnsi="Times New Roman" w:cs="Times New Roman"/>
                <w:color w:val="auto"/>
                <w:sz w:val="24"/>
                <w:szCs w:val="32"/>
                <w:highlight w:val="none"/>
              </w:rPr>
              <w:t>m高排气筒P</w:t>
            </w:r>
            <w:r>
              <w:rPr>
                <w:rFonts w:hint="eastAsia" w:ascii="Times New Roman" w:hAnsi="Times New Roman" w:cs="Times New Roman"/>
                <w:color w:val="auto"/>
                <w:sz w:val="24"/>
                <w:szCs w:val="32"/>
                <w:highlight w:val="none"/>
                <w:lang w:val="en-US" w:eastAsia="zh-CN"/>
              </w:rPr>
              <w:t>6</w:t>
            </w:r>
            <w:r>
              <w:rPr>
                <w:rFonts w:ascii="Times New Roman" w:hAnsi="Times New Roman" w:cs="Times New Roman"/>
                <w:color w:val="auto"/>
                <w:sz w:val="24"/>
                <w:szCs w:val="32"/>
                <w:highlight w:val="none"/>
              </w:rPr>
              <w:t>排放。</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本项目采用高压无气喷枪喷涂</w:t>
            </w:r>
            <w:r>
              <w:rPr>
                <w:rFonts w:hint="eastAsia" w:ascii="Times New Roman" w:hAnsi="Times New Roman" w:cs="Times New Roman"/>
                <w:color w:val="auto"/>
                <w:sz w:val="24"/>
                <w:szCs w:val="32"/>
                <w:highlight w:val="none"/>
                <w:lang w:eastAsia="zh-CN"/>
              </w:rPr>
              <w:t>，由于本项目为高压无气喷涂，根据《影响涂料利用率因素及改进措施》可知，高压喷涂方式涂料利用率达到40%~80%，考虑到本项目喷漆件的喷涂面积较大，高压喷漆过程中漆料损耗量较少，因此上漆率按照</w:t>
            </w:r>
            <w:r>
              <w:rPr>
                <w:rFonts w:hint="eastAsia" w:cs="Times New Roman"/>
                <w:color w:val="auto"/>
                <w:sz w:val="24"/>
                <w:szCs w:val="32"/>
                <w:highlight w:val="none"/>
                <w:lang w:val="en-US" w:eastAsia="zh-CN"/>
              </w:rPr>
              <w:t>70</w:t>
            </w:r>
            <w:r>
              <w:rPr>
                <w:rFonts w:hint="eastAsia" w:ascii="Times New Roman" w:hAnsi="Times New Roman" w:cs="Times New Roman"/>
                <w:color w:val="auto"/>
                <w:sz w:val="24"/>
                <w:szCs w:val="32"/>
                <w:highlight w:val="none"/>
                <w:lang w:eastAsia="zh-CN"/>
              </w:rPr>
              <w:t>%计</w:t>
            </w:r>
            <w:r>
              <w:rPr>
                <w:rFonts w:ascii="Times New Roman" w:hAnsi="Times New Roman" w:cs="Times New Roman"/>
                <w:color w:val="auto"/>
                <w:sz w:val="24"/>
                <w:szCs w:val="32"/>
                <w:highlight w:val="none"/>
              </w:rPr>
              <w:t>，即在喷涂过程中约70%的涂料附着在工件表面，其余的30%涂料形成漆雾，漆雾一部分</w:t>
            </w:r>
            <w:r>
              <w:rPr>
                <w:rFonts w:hint="eastAsia" w:ascii="Times New Roman" w:hAnsi="Times New Roman" w:cs="Times New Roman"/>
                <w:color w:val="auto"/>
                <w:sz w:val="24"/>
                <w:szCs w:val="32"/>
                <w:highlight w:val="none"/>
                <w:lang w:val="en-US" w:eastAsia="zh-CN"/>
              </w:rPr>
              <w:t>经水帘去除形成漆渣</w:t>
            </w:r>
            <w:r>
              <w:rPr>
                <w:rFonts w:ascii="Times New Roman" w:hAnsi="Times New Roman" w:cs="Times New Roman"/>
                <w:color w:val="auto"/>
                <w:sz w:val="24"/>
                <w:szCs w:val="32"/>
                <w:highlight w:val="none"/>
              </w:rPr>
              <w:t>，</w:t>
            </w:r>
            <w:r>
              <w:rPr>
                <w:rFonts w:hint="eastAsia" w:ascii="Times New Roman" w:hAnsi="Times New Roman" w:cs="Times New Roman"/>
                <w:color w:val="auto"/>
                <w:sz w:val="24"/>
                <w:szCs w:val="32"/>
                <w:highlight w:val="none"/>
                <w:lang w:val="en-US" w:eastAsia="zh-CN"/>
              </w:rPr>
              <w:t>一部分通过排气筒有组织排放，</w:t>
            </w:r>
            <w:r>
              <w:rPr>
                <w:rFonts w:ascii="Times New Roman" w:hAnsi="Times New Roman" w:cs="Times New Roman"/>
                <w:color w:val="auto"/>
                <w:sz w:val="24"/>
                <w:szCs w:val="32"/>
                <w:highlight w:val="none"/>
              </w:rPr>
              <w:t>一部分落在伸缩式喷漆房地毡上，此过程会产生S7废地毡，作为危险废物暂存危险废物储存间，委托有危险废物处理资质的厂家进行处理。</w:t>
            </w:r>
          </w:p>
          <w:p>
            <w:pPr>
              <w:spacing w:line="360" w:lineRule="auto"/>
              <w:ind w:firstLine="480" w:firstLineChars="200"/>
              <w:rPr>
                <w:rFonts w:ascii="Times New Roman" w:hAnsi="Times New Roman" w:cs="Times New Roman"/>
                <w:color w:val="auto"/>
                <w:sz w:val="24"/>
                <w:szCs w:val="32"/>
                <w:highlight w:val="none"/>
              </w:rPr>
            </w:pPr>
            <w:r>
              <w:rPr>
                <w:rFonts w:ascii="Times New Roman" w:hAnsi="Times New Roman" w:cs="Times New Roman"/>
                <w:color w:val="auto"/>
                <w:sz w:val="24"/>
                <w:szCs w:val="32"/>
                <w:highlight w:val="none"/>
              </w:rPr>
              <w:t>伸缩式喷漆房工作前送风机、排风机依次自动启动，新风阀自动打开，室外新鲜空气由送风机经过喷漆房远端上方送风管道输送。重量较大的漆雾掉落至地面地毡上，重量较小的漆雾在排风机作用下经过伸缩式喷漆房排风口处</w:t>
            </w:r>
            <w:r>
              <w:rPr>
                <w:rFonts w:hint="eastAsia" w:ascii="Times New Roman" w:hAnsi="Times New Roman" w:cs="Times New Roman"/>
                <w:color w:val="auto"/>
                <w:sz w:val="24"/>
                <w:szCs w:val="32"/>
                <w:highlight w:val="none"/>
                <w:lang w:val="en-US" w:eastAsia="zh-CN"/>
              </w:rPr>
              <w:t>水帘</w:t>
            </w:r>
            <w:r>
              <w:rPr>
                <w:rFonts w:ascii="Times New Roman" w:hAnsi="Times New Roman" w:cs="Times New Roman"/>
                <w:color w:val="auto"/>
                <w:sz w:val="24"/>
                <w:szCs w:val="32"/>
                <w:highlight w:val="none"/>
              </w:rPr>
              <w:t>，对漆雾进行第一次拦截，随后经过干式过滤</w:t>
            </w:r>
            <w:r>
              <w:rPr>
                <w:rFonts w:hint="eastAsia" w:ascii="Times New Roman" w:hAnsi="Times New Roman" w:cs="Times New Roman"/>
                <w:color w:val="auto"/>
                <w:sz w:val="24"/>
                <w:szCs w:val="32"/>
                <w:highlight w:val="none"/>
                <w:lang w:val="en-US" w:eastAsia="zh-CN"/>
              </w:rPr>
              <w:t>棉</w:t>
            </w:r>
            <w:r>
              <w:rPr>
                <w:rFonts w:ascii="Times New Roman" w:hAnsi="Times New Roman" w:cs="Times New Roman"/>
                <w:color w:val="auto"/>
                <w:sz w:val="24"/>
                <w:szCs w:val="32"/>
                <w:highlight w:val="none"/>
              </w:rPr>
              <w:t>对漆雾实现第二次拦截，基本可以实现完全去除，去除效率按照9</w:t>
            </w:r>
            <w:r>
              <w:rPr>
                <w:rFonts w:hint="eastAsia" w:ascii="Times New Roman" w:hAnsi="Times New Roman" w:cs="Times New Roman"/>
                <w:color w:val="auto"/>
                <w:sz w:val="24"/>
                <w:szCs w:val="32"/>
                <w:highlight w:val="none"/>
                <w:lang w:val="en-US" w:eastAsia="zh-CN"/>
              </w:rPr>
              <w:t>5</w:t>
            </w:r>
            <w:r>
              <w:rPr>
                <w:rFonts w:ascii="Times New Roman" w:hAnsi="Times New Roman" w:cs="Times New Roman"/>
                <w:color w:val="auto"/>
                <w:sz w:val="24"/>
                <w:szCs w:val="32"/>
                <w:highlight w:val="none"/>
              </w:rPr>
              <w:t>%计。</w:t>
            </w:r>
          </w:p>
          <w:p>
            <w:pPr>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sz w:val="24"/>
                <w:szCs w:val="32"/>
                <w:highlight w:val="none"/>
              </w:rPr>
              <w:t>有机废气治理过程会产生S8废活性炭、S9废过滤棉、S10废催化剂（主要成分陶瓷、铂、钯）、S11</w:t>
            </w:r>
            <w:r>
              <w:rPr>
                <w:rFonts w:hint="eastAsia" w:ascii="Times New Roman" w:hAnsi="Times New Roman" w:cs="Times New Roman"/>
                <w:color w:val="auto"/>
                <w:sz w:val="24"/>
                <w:szCs w:val="32"/>
                <w:highlight w:val="none"/>
              </w:rPr>
              <w:t>废漆料桶</w:t>
            </w:r>
            <w:r>
              <w:rPr>
                <w:rFonts w:ascii="Times New Roman" w:hAnsi="Times New Roman" w:cs="Times New Roman"/>
                <w:color w:val="auto"/>
                <w:sz w:val="24"/>
                <w:szCs w:val="32"/>
                <w:highlight w:val="none"/>
              </w:rPr>
              <w:t>作为危险废物暂存危险废物储存间，委托有危险废物处理资质的厂家进行处理。经喷涂过程后少部分产品不符合产品要求，需要</w:t>
            </w:r>
            <w:r>
              <w:rPr>
                <w:rFonts w:hint="eastAsia" w:cs="Times New Roman"/>
                <w:color w:val="auto"/>
                <w:sz w:val="24"/>
                <w:szCs w:val="32"/>
                <w:highlight w:val="none"/>
                <w:lang w:eastAsia="zh-CN"/>
              </w:rPr>
              <w:t>返回</w:t>
            </w:r>
            <w:r>
              <w:rPr>
                <w:rFonts w:ascii="Times New Roman" w:hAnsi="Times New Roman" w:cs="Times New Roman"/>
                <w:color w:val="auto"/>
                <w:sz w:val="24"/>
                <w:szCs w:val="32"/>
                <w:highlight w:val="none"/>
              </w:rPr>
              <w:t>喷漆房内进行补漆。</w:t>
            </w:r>
          </w:p>
          <w:p>
            <w:pPr>
              <w:spacing w:line="360" w:lineRule="auto"/>
              <w:ind w:firstLine="504" w:firstLineChars="200"/>
              <w:rPr>
                <w:rFonts w:ascii="Times New Roman" w:hAnsi="Times New Roman" w:cs="Times New Roman"/>
                <w:color w:val="auto"/>
                <w:sz w:val="24"/>
                <w:szCs w:val="32"/>
                <w:highlight w:val="none"/>
              </w:rPr>
            </w:pPr>
            <w:r>
              <w:rPr>
                <w:rFonts w:ascii="Times New Roman" w:hAnsi="Times New Roman" w:cs="Times New Roman"/>
                <w:snapToGrid w:val="0"/>
                <w:color w:val="auto"/>
                <w:w w:val="90"/>
                <w:sz w:val="28"/>
                <w:szCs w:val="20"/>
                <w:highlight w:val="none"/>
              </w:rPr>
              <w:drawing>
                <wp:anchor distT="0" distB="0" distL="114300" distR="114300" simplePos="0" relativeHeight="251659264" behindDoc="0" locked="0" layoutInCell="1" allowOverlap="1">
                  <wp:simplePos x="0" y="0"/>
                  <wp:positionH relativeFrom="column">
                    <wp:posOffset>2828290</wp:posOffset>
                  </wp:positionH>
                  <wp:positionV relativeFrom="paragraph">
                    <wp:posOffset>59055</wp:posOffset>
                  </wp:positionV>
                  <wp:extent cx="2537460" cy="1676400"/>
                  <wp:effectExtent l="0" t="0" r="7620" b="0"/>
                  <wp:wrapNone/>
                  <wp:docPr id="50" name="图片 104" descr="说明: b901470e61ca1243662dcb0ab9dc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4" descr="说明: b901470e61ca1243662dcb0ab9dc410"/>
                          <pic:cNvPicPr>
                            <a:picLocks noChangeAspect="1"/>
                          </pic:cNvPicPr>
                        </pic:nvPicPr>
                        <pic:blipFill>
                          <a:blip r:embed="rId10" cstate="print"/>
                          <a:stretch>
                            <a:fillRect/>
                          </a:stretch>
                        </pic:blipFill>
                        <pic:spPr>
                          <a:xfrm>
                            <a:off x="0" y="0"/>
                            <a:ext cx="2537460" cy="1676400"/>
                          </a:xfrm>
                          <a:prstGeom prst="rect">
                            <a:avLst/>
                          </a:prstGeom>
                          <a:noFill/>
                          <a:ln>
                            <a:noFill/>
                          </a:ln>
                        </pic:spPr>
                      </pic:pic>
                    </a:graphicData>
                  </a:graphic>
                </wp:anchor>
              </w:drawing>
            </w:r>
            <w:r>
              <w:rPr>
                <w:rFonts w:ascii="Times New Roman" w:hAnsi="Times New Roman" w:cs="Times New Roman"/>
                <w:snapToGrid w:val="0"/>
                <w:color w:val="auto"/>
                <w:w w:val="90"/>
                <w:sz w:val="28"/>
                <w:szCs w:val="20"/>
                <w:highlight w:val="none"/>
              </w:rPr>
              <w:drawing>
                <wp:anchor distT="0" distB="0" distL="114300" distR="114300" simplePos="0" relativeHeight="251660288" behindDoc="0" locked="0" layoutInCell="1" allowOverlap="1">
                  <wp:simplePos x="0" y="0"/>
                  <wp:positionH relativeFrom="column">
                    <wp:posOffset>71755</wp:posOffset>
                  </wp:positionH>
                  <wp:positionV relativeFrom="paragraph">
                    <wp:posOffset>80010</wp:posOffset>
                  </wp:positionV>
                  <wp:extent cx="2447925" cy="1667510"/>
                  <wp:effectExtent l="0" t="0" r="5715" b="8890"/>
                  <wp:wrapNone/>
                  <wp:docPr id="59" name="图片 103" descr="说明: a41d752632ee7ce436622798a91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3" descr="说明: a41d752632ee7ce436622798a911102"/>
                          <pic:cNvPicPr>
                            <a:picLocks noChangeAspect="1"/>
                          </pic:cNvPicPr>
                        </pic:nvPicPr>
                        <pic:blipFill>
                          <a:blip r:embed="rId11" cstate="print"/>
                          <a:stretch>
                            <a:fillRect/>
                          </a:stretch>
                        </pic:blipFill>
                        <pic:spPr>
                          <a:xfrm>
                            <a:off x="0" y="0"/>
                            <a:ext cx="2447925" cy="1667510"/>
                          </a:xfrm>
                          <a:prstGeom prst="rect">
                            <a:avLst/>
                          </a:prstGeom>
                          <a:noFill/>
                          <a:ln>
                            <a:noFill/>
                          </a:ln>
                        </pic:spPr>
                      </pic:pic>
                    </a:graphicData>
                  </a:graphic>
                </wp:anchor>
              </w:drawing>
            </w:r>
          </w:p>
          <w:p>
            <w:pPr>
              <w:spacing w:line="360" w:lineRule="auto"/>
              <w:rPr>
                <w:rFonts w:ascii="Times New Roman" w:hAnsi="Times New Roman" w:cs="Times New Roman"/>
                <w:color w:val="auto"/>
                <w:highlight w:val="none"/>
              </w:rPr>
            </w:pPr>
          </w:p>
          <w:p>
            <w:pPr>
              <w:pStyle w:val="4"/>
              <w:rPr>
                <w:rFonts w:ascii="Times New Roman" w:hAnsi="Times New Roman" w:cs="Times New Roman"/>
                <w:color w:val="auto"/>
                <w:highlight w:val="none"/>
              </w:rPr>
            </w:pPr>
          </w:p>
          <w:p>
            <w:pPr>
              <w:pStyle w:val="5"/>
              <w:tabs>
                <w:tab w:val="left" w:pos="420"/>
                <w:tab w:val="right" w:leader="dot" w:pos="9060"/>
              </w:tabs>
              <w:rPr>
                <w:rFonts w:ascii="Times New Roman" w:hAnsi="Times New Roman" w:cs="Times New Roman"/>
                <w:color w:val="auto"/>
                <w:highlight w:val="none"/>
              </w:rPr>
            </w:pPr>
          </w:p>
          <w:p>
            <w:pPr>
              <w:rPr>
                <w:rFonts w:ascii="Times New Roman" w:hAnsi="Times New Roman" w:cs="Times New Roman"/>
                <w:color w:val="auto"/>
                <w:highlight w:val="none"/>
              </w:rPr>
            </w:pPr>
          </w:p>
          <w:p>
            <w:pPr>
              <w:pStyle w:val="4"/>
              <w:rPr>
                <w:rFonts w:ascii="Times New Roman" w:hAnsi="Times New Roman" w:cs="Times New Roman"/>
                <w:color w:val="auto"/>
                <w:highlight w:val="none"/>
              </w:rPr>
            </w:pPr>
          </w:p>
          <w:p>
            <w:pPr>
              <w:pStyle w:val="5"/>
              <w:tabs>
                <w:tab w:val="left" w:pos="420"/>
                <w:tab w:val="right" w:leader="dot" w:pos="9060"/>
              </w:tabs>
              <w:rPr>
                <w:rFonts w:ascii="Times New Roman" w:hAnsi="Times New Roman" w:cs="Times New Roman"/>
                <w:color w:val="auto"/>
                <w:highlight w:val="none"/>
              </w:rPr>
            </w:pPr>
          </w:p>
          <w:p>
            <w:pPr>
              <w:rPr>
                <w:rFonts w:ascii="Times New Roman" w:hAnsi="Times New Roman" w:cs="Times New Roman"/>
                <w:color w:val="auto"/>
                <w:highlight w:val="none"/>
              </w:rPr>
            </w:pPr>
          </w:p>
          <w:p>
            <w:pPr>
              <w:spacing w:line="360" w:lineRule="auto"/>
              <w:ind w:firstLine="422" w:firstLineChars="200"/>
              <w:jc w:val="center"/>
              <w:rPr>
                <w:rFonts w:ascii="Times New Roman" w:hAnsi="Times New Roman" w:cs="Times New Roman"/>
                <w:b/>
                <w:bCs/>
                <w:color w:val="auto"/>
                <w:sz w:val="21"/>
                <w:szCs w:val="21"/>
                <w:highlight w:val="none"/>
              </w:rPr>
            </w:pPr>
            <w:r>
              <w:rPr>
                <w:rFonts w:ascii="Times New Roman" w:hAnsi="Times New Roman" w:cs="Times New Roman"/>
                <w:b/>
                <w:bCs/>
                <w:color w:val="auto"/>
                <w:sz w:val="21"/>
                <w:szCs w:val="21"/>
                <w:highlight w:val="none"/>
              </w:rPr>
              <w:t>图2-</w:t>
            </w:r>
            <w:r>
              <w:rPr>
                <w:rFonts w:hint="eastAsia" w:ascii="Times New Roman" w:hAnsi="Times New Roman" w:cs="Times New Roman"/>
                <w:b/>
                <w:bCs/>
                <w:color w:val="auto"/>
                <w:sz w:val="21"/>
                <w:szCs w:val="21"/>
                <w:highlight w:val="none"/>
                <w:lang w:val="en-US" w:eastAsia="zh-CN"/>
              </w:rPr>
              <w:t>4</w:t>
            </w:r>
            <w:r>
              <w:rPr>
                <w:rFonts w:ascii="Times New Roman" w:hAnsi="Times New Roman" w:cs="Times New Roman"/>
                <w:b/>
                <w:bCs/>
                <w:color w:val="auto"/>
                <w:sz w:val="21"/>
                <w:szCs w:val="21"/>
                <w:highlight w:val="none"/>
              </w:rPr>
              <w:t>伸缩式喷漆房示意图</w:t>
            </w:r>
          </w:p>
          <w:p>
            <w:pPr>
              <w:pStyle w:val="28"/>
              <w:ind w:left="0" w:leftChars="0" w:firstLine="0" w:firstLineChars="0"/>
              <w:rPr>
                <w:rFonts w:ascii="Times New Roman" w:hAnsi="Times New Roman" w:cs="Times New Roman"/>
                <w:color w:val="auto"/>
                <w:sz w:val="24"/>
                <w:szCs w:val="32"/>
                <w:highlight w:val="none"/>
              </w:rPr>
            </w:pPr>
            <w:r>
              <w:rPr>
                <w:rFonts w:ascii="Times New Roman" w:hAnsi="Times New Roman" w:cs="Times New Roman"/>
                <w:color w:val="auto"/>
                <w:highlight w:val="none"/>
              </w:rPr>
              <w:drawing>
                <wp:anchor distT="0" distB="0" distL="114300" distR="114300" simplePos="0" relativeHeight="251661312" behindDoc="0" locked="0" layoutInCell="1" allowOverlap="1">
                  <wp:simplePos x="0" y="0"/>
                  <wp:positionH relativeFrom="column">
                    <wp:posOffset>102870</wp:posOffset>
                  </wp:positionH>
                  <wp:positionV relativeFrom="paragraph">
                    <wp:posOffset>52070</wp:posOffset>
                  </wp:positionV>
                  <wp:extent cx="5283835" cy="2513965"/>
                  <wp:effectExtent l="0" t="0" r="4445" b="635"/>
                  <wp:wrapNone/>
                  <wp:docPr id="62" name="图片 62" descr="1612745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612745755(1)"/>
                          <pic:cNvPicPr>
                            <a:picLocks noChangeAspect="1"/>
                          </pic:cNvPicPr>
                        </pic:nvPicPr>
                        <pic:blipFill>
                          <a:blip r:embed="rId12" cstate="print"/>
                          <a:stretch>
                            <a:fillRect/>
                          </a:stretch>
                        </pic:blipFill>
                        <pic:spPr>
                          <a:xfrm>
                            <a:off x="0" y="0"/>
                            <a:ext cx="5283835" cy="2513965"/>
                          </a:xfrm>
                          <a:prstGeom prst="rect">
                            <a:avLst/>
                          </a:prstGeom>
                        </pic:spPr>
                      </pic:pic>
                    </a:graphicData>
                  </a:graphic>
                </wp:anchor>
              </w:drawing>
            </w:r>
          </w:p>
          <w:p>
            <w:pPr>
              <w:rPr>
                <w:rFonts w:ascii="Times New Roman" w:hAnsi="Times New Roman" w:cs="Times New Roman"/>
                <w:color w:val="auto"/>
                <w:sz w:val="24"/>
                <w:szCs w:val="32"/>
                <w:highlight w:val="none"/>
              </w:rPr>
            </w:pPr>
          </w:p>
          <w:p>
            <w:pPr>
              <w:pStyle w:val="28"/>
              <w:ind w:left="420" w:firstLine="480"/>
              <w:rPr>
                <w:rFonts w:ascii="Times New Roman" w:hAnsi="Times New Roman" w:cs="Times New Roman"/>
                <w:color w:val="auto"/>
                <w:sz w:val="24"/>
                <w:szCs w:val="32"/>
                <w:highlight w:val="none"/>
              </w:rPr>
            </w:pPr>
          </w:p>
          <w:p>
            <w:pPr>
              <w:pStyle w:val="27"/>
              <w:ind w:firstLine="240"/>
              <w:rPr>
                <w:rFonts w:ascii="Times New Roman" w:hAnsi="Times New Roman" w:cs="Times New Roman"/>
                <w:color w:val="auto"/>
                <w:sz w:val="24"/>
                <w:szCs w:val="32"/>
                <w:highlight w:val="none"/>
              </w:rPr>
            </w:pPr>
          </w:p>
          <w:p>
            <w:pPr>
              <w:rPr>
                <w:rFonts w:ascii="Times New Roman" w:hAnsi="Times New Roman" w:cs="Times New Roman"/>
                <w:color w:val="auto"/>
                <w:sz w:val="24"/>
                <w:szCs w:val="32"/>
                <w:highlight w:val="none"/>
              </w:rPr>
            </w:pPr>
          </w:p>
          <w:p>
            <w:pPr>
              <w:pStyle w:val="4"/>
              <w:rPr>
                <w:rFonts w:ascii="Times New Roman" w:hAnsi="Times New Roman" w:cs="Times New Roman"/>
                <w:color w:val="auto"/>
                <w:highlight w:val="none"/>
              </w:rPr>
            </w:pPr>
          </w:p>
          <w:p>
            <w:pPr>
              <w:rPr>
                <w:rFonts w:ascii="Times New Roman" w:hAnsi="Times New Roman" w:cs="Times New Roman"/>
                <w:color w:val="auto"/>
                <w:sz w:val="24"/>
                <w:szCs w:val="32"/>
                <w:highlight w:val="none"/>
              </w:rPr>
            </w:pPr>
          </w:p>
          <w:p>
            <w:pPr>
              <w:pStyle w:val="28"/>
              <w:ind w:left="420" w:firstLine="480"/>
              <w:rPr>
                <w:rFonts w:ascii="Times New Roman" w:hAnsi="Times New Roman" w:cs="Times New Roman"/>
                <w:color w:val="auto"/>
                <w:sz w:val="24"/>
                <w:szCs w:val="32"/>
                <w:highlight w:val="none"/>
              </w:rPr>
            </w:pPr>
          </w:p>
          <w:p>
            <w:pPr>
              <w:rPr>
                <w:rFonts w:ascii="Times New Roman" w:hAnsi="Times New Roman" w:cs="Times New Roman"/>
                <w:color w:val="auto"/>
                <w:sz w:val="24"/>
                <w:szCs w:val="32"/>
                <w:highlight w:val="none"/>
              </w:rPr>
            </w:pPr>
          </w:p>
          <w:p>
            <w:pPr>
              <w:pStyle w:val="28"/>
              <w:ind w:left="420" w:firstLine="480"/>
              <w:rPr>
                <w:rFonts w:ascii="Times New Roman" w:hAnsi="Times New Roman" w:cs="Times New Roman"/>
                <w:color w:val="auto"/>
                <w:sz w:val="24"/>
                <w:szCs w:val="32"/>
                <w:highlight w:val="none"/>
              </w:rPr>
            </w:pPr>
          </w:p>
          <w:p>
            <w:pPr>
              <w:rPr>
                <w:rFonts w:ascii="Times New Roman" w:hAnsi="Times New Roman" w:cs="Times New Roman"/>
                <w:color w:val="auto"/>
                <w:sz w:val="24"/>
                <w:szCs w:val="32"/>
                <w:highlight w:val="none"/>
              </w:rPr>
            </w:pPr>
          </w:p>
          <w:p>
            <w:pPr>
              <w:spacing w:line="360" w:lineRule="auto"/>
              <w:ind w:firstLine="422" w:firstLineChars="200"/>
              <w:jc w:val="center"/>
              <w:rPr>
                <w:rFonts w:ascii="Times New Roman" w:hAnsi="Times New Roman" w:cs="Times New Roman"/>
                <w:color w:val="auto"/>
                <w:highlight w:val="none"/>
              </w:rPr>
            </w:pPr>
            <w:r>
              <w:rPr>
                <w:rFonts w:ascii="Times New Roman" w:hAnsi="Times New Roman" w:cs="Times New Roman"/>
                <w:b/>
                <w:bCs/>
                <w:color w:val="auto"/>
                <w:sz w:val="21"/>
                <w:szCs w:val="21"/>
                <w:highlight w:val="none"/>
              </w:rPr>
              <w:t>图2-</w:t>
            </w:r>
            <w:r>
              <w:rPr>
                <w:rFonts w:hint="eastAsia" w:ascii="Times New Roman" w:hAnsi="Times New Roman" w:cs="Times New Roman"/>
                <w:b/>
                <w:bCs/>
                <w:color w:val="auto"/>
                <w:sz w:val="21"/>
                <w:szCs w:val="21"/>
                <w:highlight w:val="none"/>
                <w:lang w:val="en-US" w:eastAsia="zh-CN"/>
              </w:rPr>
              <w:t>5</w:t>
            </w:r>
            <w:r>
              <w:rPr>
                <w:rFonts w:ascii="Times New Roman" w:hAnsi="Times New Roman" w:cs="Times New Roman"/>
                <w:b/>
                <w:bCs/>
                <w:color w:val="auto"/>
                <w:sz w:val="21"/>
                <w:szCs w:val="21"/>
                <w:highlight w:val="none"/>
              </w:rPr>
              <w:t xml:space="preserve"> 伸缩式喷漆房工作流程图</w:t>
            </w:r>
          </w:p>
          <w:p>
            <w:pPr>
              <w:pStyle w:val="67"/>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（7）检验</w:t>
            </w:r>
          </w:p>
          <w:p>
            <w:pPr>
              <w:pStyle w:val="67"/>
              <w:snapToGrid w:val="0"/>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highlight w:val="none"/>
              </w:rPr>
              <w:t>尺寸采用卷尺、角尺等工具进行测量检验，焊缝采用超声波无损检测仪器、焊脚尺等工具进行检验，</w:t>
            </w:r>
            <w:r>
              <w:rPr>
                <w:rFonts w:hint="eastAsia" w:ascii="Times New Roman" w:hAnsi="Times New Roman" w:cs="Times New Roman"/>
                <w:color w:val="auto"/>
                <w:highlight w:val="none"/>
                <w:lang w:val="en-US" w:eastAsia="zh-CN"/>
              </w:rPr>
              <w:t>漆膜</w:t>
            </w:r>
            <w:r>
              <w:rPr>
                <w:rFonts w:ascii="Times New Roman" w:hAnsi="Times New Roman" w:cs="Times New Roman"/>
                <w:color w:val="auto"/>
                <w:highlight w:val="none"/>
              </w:rPr>
              <w:t>采用超声波漆膜测厚仪及目视检验的方式，经检验合格后入库为成品，少量不合格产品返回对应加工工序进行再加工。工件在车间内部转运说明：沿厂房长度方向上采用吊车转运，过跨采用低压电平车及托缆式电平车，零件采用3t叉车，部分构件采用5t 叉车。</w:t>
            </w:r>
          </w:p>
          <w:p>
            <w:pPr>
              <w:spacing w:line="360" w:lineRule="auto"/>
              <w:ind w:firstLine="480" w:firstLineChars="200"/>
              <w:rPr>
                <w:rFonts w:hint="default" w:ascii="Times New Roman" w:hAnsi="Times New Roman" w:cs="Times New Roman"/>
                <w:b/>
                <w:bCs/>
                <w:color w:val="auto"/>
                <w:sz w:val="21"/>
                <w:szCs w:val="18"/>
                <w:highlight w:val="none"/>
              </w:rPr>
            </w:pPr>
            <w:r>
              <w:rPr>
                <w:rFonts w:hint="default" w:ascii="Times New Roman" w:hAnsi="Times New Roman" w:cs="Times New Roman"/>
                <w:color w:val="auto"/>
                <w:highlight w:val="none"/>
              </w:rPr>
              <w:t>本项目产污环节污染物汇总如下表：</w:t>
            </w:r>
          </w:p>
          <w:p>
            <w:pPr>
              <w:jc w:val="center"/>
              <w:rPr>
                <w:rFonts w:hint="default" w:ascii="Times New Roman" w:hAnsi="Times New Roman" w:cs="Times New Roman"/>
                <w:b/>
                <w:bCs/>
                <w:color w:val="auto"/>
                <w:sz w:val="21"/>
                <w:szCs w:val="16"/>
                <w:highlight w:val="none"/>
              </w:rPr>
            </w:pPr>
            <w:r>
              <w:rPr>
                <w:rFonts w:hint="default" w:ascii="Times New Roman" w:hAnsi="Times New Roman" w:cs="Times New Roman"/>
                <w:b/>
                <w:bCs/>
                <w:color w:val="auto"/>
                <w:sz w:val="21"/>
                <w:szCs w:val="18"/>
                <w:highlight w:val="none"/>
              </w:rPr>
              <w:t>表2-9 本项目产污环节污染物汇总</w:t>
            </w:r>
          </w:p>
          <w:tbl>
            <w:tblPr>
              <w:tblStyle w:val="29"/>
              <w:tblpPr w:leftFromText="180" w:rightFromText="180" w:vertAnchor="text" w:tblpXSpec="center" w:tblpY="1"/>
              <w:tblOverlap w:val="never"/>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873"/>
              <w:gridCol w:w="1140"/>
              <w:gridCol w:w="1405"/>
              <w:gridCol w:w="2714"/>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5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产污类别</w:t>
                  </w: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污染源编号</w:t>
                  </w:r>
                </w:p>
              </w:tc>
              <w:tc>
                <w:tcPr>
                  <w:tcW w:w="67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产污环节</w:t>
                  </w:r>
                </w:p>
              </w:tc>
              <w:tc>
                <w:tcPr>
                  <w:tcW w:w="83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主要污染物</w:t>
                  </w:r>
                </w:p>
              </w:tc>
              <w:tc>
                <w:tcPr>
                  <w:tcW w:w="161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治理措施</w:t>
                  </w: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废气</w:t>
                  </w: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G1</w:t>
                  </w:r>
                </w:p>
              </w:tc>
              <w:tc>
                <w:tcPr>
                  <w:tcW w:w="67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切割下料</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焊接</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打磨</w:t>
                  </w:r>
                </w:p>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抛丸</w:t>
                  </w:r>
                </w:p>
              </w:tc>
              <w:tc>
                <w:tcPr>
                  <w:tcW w:w="83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颗粒物</w:t>
                  </w:r>
                </w:p>
              </w:tc>
              <w:tc>
                <w:tcPr>
                  <w:tcW w:w="2515"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rPr>
                    <w:t>①</w:t>
                  </w:r>
                  <w:r>
                    <w:rPr>
                      <w:rFonts w:hint="eastAsia" w:cs="Times New Roman"/>
                      <w:color w:val="auto"/>
                      <w:sz w:val="21"/>
                      <w:szCs w:val="21"/>
                      <w:highlight w:val="none"/>
                      <w:lang w:val="en-US" w:eastAsia="zh-CN"/>
                    </w:rPr>
                    <w:t>生产车间1内火焰切割机、埋弧焊机、二保焊机、电焊机、角磨机工作过程中会产生颗粒物，火焰切割机产生的颗粒物经切割枪头处可移动集气罩收集，埋弧焊机、二保焊机、电焊机、打磨产生的颗粒物经万向集气罩收集，上述颗粒物经收集后通过一套1#布袋除尘器+18m高排气筒P1有组织排放。</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②</w:t>
                  </w:r>
                  <w:r>
                    <w:rPr>
                      <w:rFonts w:hint="eastAsia" w:cs="Times New Roman"/>
                      <w:color w:val="auto"/>
                      <w:sz w:val="21"/>
                      <w:szCs w:val="21"/>
                      <w:highlight w:val="none"/>
                      <w:lang w:val="en-US" w:eastAsia="zh-CN"/>
                    </w:rPr>
                    <w:t>本项目生产车间2内火焰切割机、半自动火焰切割机、埋弧焊机、二保焊机、电焊机、抛丸机、角磨机工作过程中会产生颗粒物，火焰切割机产生的颗粒物经切割枪头处可移动集气罩收集，埋弧焊机、二保焊机、电焊机、打磨产生的颗粒物经万向集气罩收集，上述颗粒物经收集后通过一套2#布袋除尘器+18m高排气筒P2有组织排放。抛丸机产生的颗粒物经自带3#布袋除尘器+18m排气筒P3排放。</w:t>
                  </w:r>
                </w:p>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ascii="Times New Roman" w:hAnsi="Times New Roman" w:cs="Times New Roman" w:eastAsiaTheme="minorEastAsia"/>
                      <w:color w:val="auto"/>
                      <w:sz w:val="21"/>
                      <w:szCs w:val="21"/>
                      <w:highlight w:val="none"/>
                    </w:rPr>
                  </w:pPr>
                  <w:r>
                    <w:rPr>
                      <w:rFonts w:hint="default" w:ascii="Times New Roman" w:hAnsi="Times New Roman" w:cs="Times New Roman"/>
                      <w:color w:val="auto"/>
                      <w:sz w:val="21"/>
                      <w:szCs w:val="21"/>
                      <w:highlight w:val="none"/>
                    </w:rPr>
                    <w:t>③本项目生产车间3内火焰切割机、半自动火焰切割机、埋弧焊机、二保焊机、电焊机、抛丸机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角磨机工作过程中会产生颗粒物，火焰切割机产生的颗粒物经切割枪头处可移动集气罩收集，埋弧焊机、二保焊机、电焊机、打磨产生的颗粒物经万向集气罩收集，上述颗粒物经收集后通过一套4#布袋除尘器+18m高排气筒P4有组织排放。抛丸机产生的颗粒物经自带5#布袋除尘器+18m排气筒P5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G2</w:t>
                  </w:r>
                </w:p>
              </w:tc>
              <w:tc>
                <w:tcPr>
                  <w:tcW w:w="67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调漆、喷漆、晾干</w:t>
                  </w:r>
                </w:p>
              </w:tc>
              <w:tc>
                <w:tcPr>
                  <w:tcW w:w="83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eastAsiaTheme="minorEastAsia"/>
                      <w:color w:val="auto"/>
                      <w:sz w:val="21"/>
                      <w:szCs w:val="21"/>
                      <w:highlight w:val="none"/>
                    </w:rPr>
                    <w:t>TRVOC、非甲烷总烃、乙苯、二甲苯、臭气浓度</w:t>
                  </w:r>
                </w:p>
              </w:tc>
              <w:tc>
                <w:tcPr>
                  <w:tcW w:w="161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伸缩式喷漆房负压收集，废气收集口位于伸缩式喷漆房固定端侧方，收集后的废气经</w:t>
                  </w:r>
                  <w:r>
                    <w:rPr>
                      <w:rFonts w:hint="eastAsia" w:cs="Times New Roman" w:eastAsiaTheme="minorEastAsia"/>
                      <w:color w:val="auto"/>
                      <w:sz w:val="21"/>
                      <w:szCs w:val="21"/>
                      <w:highlight w:val="none"/>
                      <w:lang w:eastAsia="zh-CN"/>
                    </w:rPr>
                    <w:t>活性炭吸附、脱附催化燃烧</w:t>
                  </w:r>
                  <w:r>
                    <w:rPr>
                      <w:rFonts w:ascii="Times New Roman" w:hAnsi="Times New Roman" w:cs="Times New Roman" w:eastAsiaTheme="minorEastAsia"/>
                      <w:color w:val="auto"/>
                      <w:sz w:val="21"/>
                      <w:szCs w:val="21"/>
                      <w:highlight w:val="none"/>
                    </w:rPr>
                    <w:t>设备处理。</w:t>
                  </w: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排</w:t>
                  </w:r>
                  <w:r>
                    <w:rPr>
                      <w:rFonts w:hint="eastAsia" w:ascii="Times New Roman" w:hAnsi="Times New Roman" w:cs="Times New Roman" w:eastAsiaTheme="minorEastAsia"/>
                      <w:color w:val="auto"/>
                      <w:sz w:val="21"/>
                      <w:szCs w:val="21"/>
                      <w:highlight w:val="none"/>
                    </w:rPr>
                    <w:t>收集的废气经</w:t>
                  </w:r>
                  <w:r>
                    <w:rPr>
                      <w:rFonts w:ascii="Times New Roman" w:hAnsi="Times New Roman" w:cs="Times New Roman" w:eastAsiaTheme="minorEastAsia"/>
                      <w:color w:val="auto"/>
                      <w:sz w:val="21"/>
                      <w:szCs w:val="21"/>
                      <w:highlight w:val="none"/>
                    </w:rPr>
                    <w:t>气筒P</w:t>
                  </w:r>
                  <w:r>
                    <w:rPr>
                      <w:rFonts w:hint="eastAsia" w:ascii="Times New Roman" w:hAnsi="Times New Roman" w:cs="Times New Roman" w:eastAsiaTheme="minorEastAsia"/>
                      <w:color w:val="auto"/>
                      <w:sz w:val="21"/>
                      <w:szCs w:val="21"/>
                      <w:highlight w:val="none"/>
                      <w:lang w:val="en-US" w:eastAsia="zh-CN"/>
                    </w:rPr>
                    <w:t>6</w:t>
                  </w:r>
                  <w:r>
                    <w:rPr>
                      <w:rFonts w:ascii="Times New Roman" w:hAnsi="Times New Roman" w:cs="Times New Roman" w:eastAsiaTheme="minorEastAsia"/>
                      <w:color w:val="auto"/>
                      <w:sz w:val="21"/>
                      <w:szCs w:val="21"/>
                      <w:highlight w:val="none"/>
                    </w:rPr>
                    <w:t>有组织排放</w:t>
                  </w:r>
                  <w:r>
                    <w:rPr>
                      <w:rFonts w:hint="eastAsia" w:ascii="Times New Roman" w:hAnsi="Times New Roman" w:cs="Times New Roman" w:eastAsiaTheme="minorEastAsia"/>
                      <w:color w:val="auto"/>
                      <w:sz w:val="21"/>
                      <w:szCs w:val="21"/>
                      <w:highlight w:val="none"/>
                    </w:rPr>
                    <w:t>，未收集的废气无组织排放。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G3</w:t>
                  </w:r>
                </w:p>
              </w:tc>
              <w:tc>
                <w:tcPr>
                  <w:tcW w:w="67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调漆、喷漆、晾干</w:t>
                  </w:r>
                </w:p>
              </w:tc>
              <w:tc>
                <w:tcPr>
                  <w:tcW w:w="83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乙苯、臭气浓度</w:t>
                  </w:r>
                </w:p>
              </w:tc>
              <w:tc>
                <w:tcPr>
                  <w:tcW w:w="161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伸缩式喷漆房负压收集，废气收集口位于伸缩式喷漆房固定端侧方，收集后的废气经</w:t>
                  </w:r>
                  <w:r>
                    <w:rPr>
                      <w:rFonts w:hint="eastAsia" w:cs="Times New Roman" w:eastAsiaTheme="minorEastAsia"/>
                      <w:color w:val="auto"/>
                      <w:sz w:val="21"/>
                      <w:szCs w:val="21"/>
                      <w:highlight w:val="none"/>
                      <w:lang w:eastAsia="zh-CN"/>
                    </w:rPr>
                    <w:t>活性炭吸附、脱附催化燃烧</w:t>
                  </w:r>
                  <w:r>
                    <w:rPr>
                      <w:rFonts w:ascii="Times New Roman" w:hAnsi="Times New Roman" w:cs="Times New Roman" w:eastAsiaTheme="minorEastAsia"/>
                      <w:color w:val="auto"/>
                      <w:sz w:val="21"/>
                      <w:szCs w:val="21"/>
                      <w:highlight w:val="none"/>
                    </w:rPr>
                    <w:t>设备处理。</w:t>
                  </w: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收集的废气经</w:t>
                  </w:r>
                  <w:r>
                    <w:rPr>
                      <w:rFonts w:ascii="Times New Roman" w:hAnsi="Times New Roman" w:cs="Times New Roman" w:eastAsiaTheme="minorEastAsia"/>
                      <w:color w:val="auto"/>
                      <w:sz w:val="21"/>
                      <w:szCs w:val="21"/>
                      <w:highlight w:val="none"/>
                    </w:rPr>
                    <w:t>排气筒P</w:t>
                  </w:r>
                  <w:r>
                    <w:rPr>
                      <w:rFonts w:hint="eastAsia" w:ascii="Times New Roman" w:hAnsi="Times New Roman" w:cs="Times New Roman" w:eastAsiaTheme="minorEastAsia"/>
                      <w:color w:val="auto"/>
                      <w:sz w:val="21"/>
                      <w:szCs w:val="21"/>
                      <w:highlight w:val="none"/>
                      <w:lang w:val="en-US" w:eastAsia="zh-CN"/>
                    </w:rPr>
                    <w:t>6</w:t>
                  </w:r>
                  <w:r>
                    <w:rPr>
                      <w:rFonts w:ascii="Times New Roman" w:hAnsi="Times New Roman" w:cs="Times New Roman" w:eastAsiaTheme="minorEastAsia"/>
                      <w:color w:val="auto"/>
                      <w:sz w:val="21"/>
                      <w:szCs w:val="21"/>
                      <w:highlight w:val="none"/>
                    </w:rPr>
                    <w:t>有组织排放</w:t>
                  </w:r>
                  <w:r>
                    <w:rPr>
                      <w:rFonts w:hint="eastAsia" w:ascii="Times New Roman" w:hAnsi="Times New Roman" w:cs="Times New Roman" w:eastAsiaTheme="minorEastAsia"/>
                      <w:color w:val="auto"/>
                      <w:sz w:val="21"/>
                      <w:szCs w:val="21"/>
                      <w:highlight w:val="none"/>
                    </w:rPr>
                    <w:t>，未收集的废气无组织排放。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G4</w:t>
                  </w:r>
                </w:p>
              </w:tc>
              <w:tc>
                <w:tcPr>
                  <w:tcW w:w="67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喷漆</w:t>
                  </w:r>
                </w:p>
              </w:tc>
              <w:tc>
                <w:tcPr>
                  <w:tcW w:w="83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漆雾（染色尘）</w:t>
                  </w:r>
                </w:p>
              </w:tc>
              <w:tc>
                <w:tcPr>
                  <w:tcW w:w="161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伸缩式喷漆房产生漆雾经负压收集，收集口位于伸缩式喷漆房固定端侧方，收集后的漆雾通过</w:t>
                  </w:r>
                  <w:r>
                    <w:rPr>
                      <w:rFonts w:hint="eastAsia" w:ascii="Times New Roman" w:hAnsi="Times New Roman" w:cs="Times New Roman" w:eastAsiaTheme="minorEastAsia"/>
                      <w:color w:val="auto"/>
                      <w:sz w:val="21"/>
                      <w:szCs w:val="21"/>
                      <w:highlight w:val="none"/>
                      <w:lang w:val="en-US" w:eastAsia="zh-CN"/>
                    </w:rPr>
                    <w:t>水帘+</w:t>
                  </w:r>
                  <w:r>
                    <w:rPr>
                      <w:rFonts w:ascii="Times New Roman" w:hAnsi="Times New Roman" w:cs="Times New Roman" w:eastAsiaTheme="minorEastAsia"/>
                      <w:color w:val="auto"/>
                      <w:sz w:val="21"/>
                      <w:szCs w:val="21"/>
                      <w:highlight w:val="none"/>
                    </w:rPr>
                    <w:t>干式过滤</w:t>
                  </w:r>
                  <w:r>
                    <w:rPr>
                      <w:rFonts w:hint="eastAsia" w:ascii="Times New Roman" w:hAnsi="Times New Roman" w:cs="Times New Roman" w:eastAsiaTheme="minorEastAsia"/>
                      <w:color w:val="auto"/>
                      <w:sz w:val="21"/>
                      <w:szCs w:val="21"/>
                      <w:highlight w:val="none"/>
                      <w:lang w:val="en-US" w:eastAsia="zh-CN"/>
                    </w:rPr>
                    <w:t>棉</w:t>
                  </w:r>
                  <w:r>
                    <w:rPr>
                      <w:rFonts w:ascii="Times New Roman" w:hAnsi="Times New Roman" w:cs="Times New Roman" w:eastAsiaTheme="minorEastAsia"/>
                      <w:color w:val="auto"/>
                      <w:sz w:val="21"/>
                      <w:szCs w:val="21"/>
                      <w:highlight w:val="none"/>
                    </w:rPr>
                    <w:t>进行过滤处理。</w:t>
                  </w: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收集的废气经</w:t>
                  </w:r>
                  <w:r>
                    <w:rPr>
                      <w:rFonts w:ascii="Times New Roman" w:hAnsi="Times New Roman" w:cs="Times New Roman" w:eastAsiaTheme="minorEastAsia"/>
                      <w:color w:val="auto"/>
                      <w:sz w:val="21"/>
                      <w:szCs w:val="21"/>
                      <w:highlight w:val="none"/>
                    </w:rPr>
                    <w:t>排气筒P</w:t>
                  </w:r>
                  <w:r>
                    <w:rPr>
                      <w:rFonts w:hint="eastAsia" w:ascii="Times New Roman" w:hAnsi="Times New Roman" w:cs="Times New Roman" w:eastAsiaTheme="minorEastAsia"/>
                      <w:color w:val="auto"/>
                      <w:sz w:val="21"/>
                      <w:szCs w:val="21"/>
                      <w:highlight w:val="none"/>
                      <w:lang w:val="en-US" w:eastAsia="zh-CN"/>
                    </w:rPr>
                    <w:t>6</w:t>
                  </w:r>
                  <w:r>
                    <w:rPr>
                      <w:rFonts w:ascii="Times New Roman" w:hAnsi="Times New Roman" w:cs="Times New Roman" w:eastAsiaTheme="minorEastAsia"/>
                      <w:color w:val="auto"/>
                      <w:sz w:val="21"/>
                      <w:szCs w:val="21"/>
                      <w:highlight w:val="none"/>
                    </w:rPr>
                    <w:t>有组织排放</w:t>
                  </w:r>
                  <w:r>
                    <w:rPr>
                      <w:rFonts w:hint="eastAsia" w:ascii="Times New Roman" w:hAnsi="Times New Roman" w:cs="Times New Roman" w:eastAsiaTheme="minorEastAsia"/>
                      <w:color w:val="auto"/>
                      <w:sz w:val="21"/>
                      <w:szCs w:val="21"/>
                      <w:highlight w:val="none"/>
                    </w:rPr>
                    <w:t>，未收集的废气无组织排放。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废水</w:t>
                  </w: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W1</w:t>
                  </w:r>
                </w:p>
              </w:tc>
              <w:tc>
                <w:tcPr>
                  <w:tcW w:w="67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生活污水</w:t>
                  </w:r>
                </w:p>
              </w:tc>
              <w:tc>
                <w:tcPr>
                  <w:tcW w:w="83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pH、CODcr、BOD</w:t>
                  </w:r>
                  <w:r>
                    <w:rPr>
                      <w:rFonts w:ascii="Times New Roman" w:hAnsi="Times New Roman" w:cs="Times New Roman" w:eastAsiaTheme="minorEastAsia"/>
                      <w:color w:val="auto"/>
                      <w:sz w:val="21"/>
                      <w:szCs w:val="21"/>
                      <w:highlight w:val="none"/>
                      <w:vertAlign w:val="subscript"/>
                    </w:rPr>
                    <w:t>5</w:t>
                  </w:r>
                  <w:r>
                    <w:rPr>
                      <w:rFonts w:ascii="Times New Roman" w:hAnsi="Times New Roman" w:cs="Times New Roman" w:eastAsiaTheme="minorEastAsia"/>
                      <w:color w:val="auto"/>
                      <w:sz w:val="21"/>
                      <w:szCs w:val="21"/>
                      <w:highlight w:val="none"/>
                    </w:rPr>
                    <w:t>、氨氮、总磷、总氮、石油类</w:t>
                  </w:r>
                </w:p>
              </w:tc>
              <w:tc>
                <w:tcPr>
                  <w:tcW w:w="161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color w:val="auto"/>
                      <w:sz w:val="21"/>
                      <w:szCs w:val="21"/>
                      <w:highlight w:val="none"/>
                      <w:lang w:val="en-US" w:eastAsia="zh-CN"/>
                    </w:rPr>
                  </w:pPr>
                  <w:r>
                    <w:rPr>
                      <w:rFonts w:ascii="Times New Roman" w:hAnsi="Times New Roman" w:cs="Times New Roman" w:eastAsiaTheme="minorEastAsia"/>
                      <w:color w:val="auto"/>
                      <w:sz w:val="21"/>
                      <w:szCs w:val="21"/>
                      <w:highlight w:val="none"/>
                    </w:rPr>
                    <w:t>经由厂区总排口排放</w:t>
                  </w:r>
                  <w:r>
                    <w:rPr>
                      <w:rFonts w:hint="eastAsia" w:ascii="Times New Roman" w:hAnsi="Times New Roman" w:cs="Times New Roman" w:eastAsiaTheme="minorEastAsia"/>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455"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噪声</w:t>
                  </w: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N</w:t>
                  </w:r>
                </w:p>
              </w:tc>
              <w:tc>
                <w:tcPr>
                  <w:tcW w:w="67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生产设备</w:t>
                  </w:r>
                  <w:r>
                    <w:rPr>
                      <w:rFonts w:ascii="Times New Roman" w:hAnsi="Times New Roman" w:cs="Times New Roman" w:eastAsiaTheme="minorEastAsia"/>
                      <w:color w:val="auto"/>
                      <w:sz w:val="21"/>
                      <w:szCs w:val="21"/>
                      <w:highlight w:val="none"/>
                    </w:rPr>
                    <w:t>及环保设施风机噪声</w:t>
                  </w:r>
                </w:p>
              </w:tc>
              <w:tc>
                <w:tcPr>
                  <w:tcW w:w="83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机械噪声</w:t>
                  </w:r>
                </w:p>
              </w:tc>
              <w:tc>
                <w:tcPr>
                  <w:tcW w:w="161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hint="default" w:ascii="Times New Roman" w:hAnsi="Times New Roman" w:cs="Times New Roman"/>
                      <w:bCs/>
                      <w:color w:val="auto"/>
                      <w:sz w:val="21"/>
                      <w:szCs w:val="21"/>
                      <w:highlight w:val="none"/>
                    </w:rPr>
                    <w:t>采取加装减振垫、选用低噪声设备、建筑隔声、风机进出风管道接口采用软管相连</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风机加装隔声罩</w:t>
                  </w:r>
                  <w:r>
                    <w:rPr>
                      <w:rFonts w:hint="default" w:ascii="Times New Roman" w:hAnsi="Times New Roman" w:cs="Times New Roman"/>
                      <w:bCs/>
                      <w:color w:val="auto"/>
                      <w:sz w:val="21"/>
                      <w:szCs w:val="21"/>
                      <w:highlight w:val="none"/>
                    </w:rPr>
                    <w:t>等措施</w:t>
                  </w:r>
                  <w:r>
                    <w:rPr>
                      <w:rFonts w:hint="eastAsia" w:cs="Times New Roman"/>
                      <w:bCs/>
                      <w:color w:val="auto"/>
                      <w:sz w:val="21"/>
                      <w:szCs w:val="21"/>
                      <w:highlight w:val="none"/>
                      <w:lang w:eastAsia="zh-CN"/>
                    </w:rPr>
                    <w:t>。</w:t>
                  </w: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固废</w:t>
                  </w: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S1</w:t>
                  </w:r>
                </w:p>
              </w:tc>
              <w:tc>
                <w:tcPr>
                  <w:tcW w:w="676" w:type="pct"/>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下料</w:t>
                  </w:r>
                </w:p>
              </w:tc>
              <w:tc>
                <w:tcPr>
                  <w:tcW w:w="83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废边角料</w:t>
                  </w:r>
                </w:p>
              </w:tc>
              <w:tc>
                <w:tcPr>
                  <w:tcW w:w="161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物资部门回收利用</w:t>
                  </w: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S2</w:t>
                  </w:r>
                </w:p>
              </w:tc>
              <w:tc>
                <w:tcPr>
                  <w:tcW w:w="676" w:type="pct"/>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钻铣</w:t>
                  </w:r>
                </w:p>
              </w:tc>
              <w:tc>
                <w:tcPr>
                  <w:tcW w:w="83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废切削液</w:t>
                  </w:r>
                </w:p>
              </w:tc>
              <w:tc>
                <w:tcPr>
                  <w:tcW w:w="161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S3</w:t>
                  </w:r>
                </w:p>
              </w:tc>
              <w:tc>
                <w:tcPr>
                  <w:tcW w:w="676" w:type="pct"/>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焊接</w:t>
                  </w:r>
                </w:p>
              </w:tc>
              <w:tc>
                <w:tcPr>
                  <w:tcW w:w="834" w:type="pct"/>
                  <w:shd w:val="clear" w:color="auto" w:fill="auto"/>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废焊材</w:t>
                  </w:r>
                </w:p>
              </w:tc>
              <w:tc>
                <w:tcPr>
                  <w:tcW w:w="161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S4</w:t>
                  </w:r>
                </w:p>
              </w:tc>
              <w:tc>
                <w:tcPr>
                  <w:tcW w:w="676" w:type="pct"/>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打磨</w:t>
                  </w:r>
                </w:p>
              </w:tc>
              <w:tc>
                <w:tcPr>
                  <w:tcW w:w="834" w:type="pct"/>
                  <w:shd w:val="clear" w:color="auto" w:fill="auto"/>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废金属屑</w:t>
                  </w:r>
                </w:p>
              </w:tc>
              <w:tc>
                <w:tcPr>
                  <w:tcW w:w="161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S5</w:t>
                  </w:r>
                </w:p>
              </w:tc>
              <w:tc>
                <w:tcPr>
                  <w:tcW w:w="676" w:type="pct"/>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抛丸</w:t>
                  </w:r>
                </w:p>
              </w:tc>
              <w:tc>
                <w:tcPr>
                  <w:tcW w:w="834" w:type="pct"/>
                  <w:shd w:val="clear" w:color="auto" w:fill="auto"/>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废钢砂</w:t>
                  </w:r>
                </w:p>
              </w:tc>
              <w:tc>
                <w:tcPr>
                  <w:tcW w:w="161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S14</w:t>
                  </w:r>
                </w:p>
              </w:tc>
              <w:tc>
                <w:tcPr>
                  <w:tcW w:w="676" w:type="pct"/>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废气处理</w:t>
                  </w:r>
                </w:p>
              </w:tc>
              <w:tc>
                <w:tcPr>
                  <w:tcW w:w="834" w:type="pct"/>
                  <w:shd w:val="clear" w:color="auto" w:fill="auto"/>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cs="Times New Roman" w:eastAsiaTheme="minorEastAsia"/>
                      <w:color w:val="auto"/>
                      <w:sz w:val="21"/>
                      <w:szCs w:val="21"/>
                      <w:highlight w:val="none"/>
                      <w:lang w:val="en-US" w:eastAsia="zh-CN"/>
                    </w:rPr>
                  </w:pPr>
                  <w:r>
                    <w:rPr>
                      <w:rFonts w:ascii="Times New Roman" w:hAnsi="Times New Roman" w:cs="Times New Roman" w:eastAsiaTheme="minorEastAsia"/>
                      <w:color w:val="auto"/>
                      <w:sz w:val="21"/>
                      <w:szCs w:val="21"/>
                      <w:highlight w:val="none"/>
                    </w:rPr>
                    <w:t>除尘灰</w:t>
                  </w:r>
                  <w:r>
                    <w:rPr>
                      <w:rFonts w:hint="eastAsia" w:cs="Times New Roman" w:eastAsiaTheme="minorEastAsia"/>
                      <w:color w:val="auto"/>
                      <w:sz w:val="21"/>
                      <w:szCs w:val="21"/>
                      <w:highlight w:val="none"/>
                      <w:lang w:eastAsia="zh-CN"/>
                    </w:rPr>
                    <w:t>、</w:t>
                  </w:r>
                  <w:r>
                    <w:rPr>
                      <w:rFonts w:hint="eastAsia" w:cs="Times New Roman" w:eastAsiaTheme="minorEastAsia"/>
                      <w:color w:val="auto"/>
                      <w:sz w:val="21"/>
                      <w:szCs w:val="21"/>
                      <w:highlight w:val="none"/>
                      <w:lang w:val="en-US" w:eastAsia="zh-CN"/>
                    </w:rPr>
                    <w:t>废布袋</w:t>
                  </w:r>
                </w:p>
              </w:tc>
              <w:tc>
                <w:tcPr>
                  <w:tcW w:w="161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S6</w:t>
                  </w:r>
                </w:p>
              </w:tc>
              <w:tc>
                <w:tcPr>
                  <w:tcW w:w="676" w:type="pct"/>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hint="eastAsia" w:ascii="Times New Roman" w:hAnsi="Times New Roman" w:cs="Times New Roman" w:eastAsiaTheme="minorEastAsia"/>
                      <w:color w:val="auto"/>
                      <w:sz w:val="21"/>
                      <w:szCs w:val="21"/>
                      <w:highlight w:val="none"/>
                      <w:lang w:eastAsia="zh-CN"/>
                    </w:rPr>
                  </w:pPr>
                  <w:r>
                    <w:rPr>
                      <w:rFonts w:ascii="Times New Roman" w:hAnsi="Times New Roman" w:cs="Times New Roman" w:eastAsiaTheme="minorEastAsia"/>
                      <w:color w:val="auto"/>
                      <w:sz w:val="21"/>
                      <w:szCs w:val="21"/>
                      <w:highlight w:val="none"/>
                    </w:rPr>
                    <w:t>喷漆、设备</w:t>
                  </w:r>
                  <w:r>
                    <w:rPr>
                      <w:rFonts w:hint="eastAsia" w:ascii="Times New Roman" w:hAnsi="Times New Roman" w:cs="Times New Roman" w:eastAsiaTheme="minorEastAsia"/>
                      <w:color w:val="auto"/>
                      <w:sz w:val="21"/>
                      <w:szCs w:val="21"/>
                      <w:highlight w:val="none"/>
                      <w:lang w:eastAsia="zh-CN"/>
                    </w:rPr>
                    <w:t>围护</w:t>
                  </w:r>
                </w:p>
              </w:tc>
              <w:tc>
                <w:tcPr>
                  <w:tcW w:w="834" w:type="pct"/>
                  <w:shd w:val="clear" w:color="auto" w:fill="auto"/>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沾染布及手套</w:t>
                  </w:r>
                </w:p>
              </w:tc>
              <w:tc>
                <w:tcPr>
                  <w:tcW w:w="161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委托有资质单位清运处置</w:t>
                  </w: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S7</w:t>
                  </w:r>
                </w:p>
              </w:tc>
              <w:tc>
                <w:tcPr>
                  <w:tcW w:w="676" w:type="pct"/>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喷漆</w:t>
                  </w:r>
                </w:p>
              </w:tc>
              <w:tc>
                <w:tcPr>
                  <w:tcW w:w="834" w:type="pct"/>
                  <w:shd w:val="clear" w:color="auto" w:fill="auto"/>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废地毡</w:t>
                  </w:r>
                </w:p>
              </w:tc>
              <w:tc>
                <w:tcPr>
                  <w:tcW w:w="161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S8</w:t>
                  </w:r>
                </w:p>
              </w:tc>
              <w:tc>
                <w:tcPr>
                  <w:tcW w:w="676" w:type="pct"/>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废气处理</w:t>
                  </w:r>
                </w:p>
              </w:tc>
              <w:tc>
                <w:tcPr>
                  <w:tcW w:w="834" w:type="pct"/>
                  <w:shd w:val="clear" w:color="auto" w:fill="auto"/>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废活性炭</w:t>
                  </w:r>
                </w:p>
              </w:tc>
              <w:tc>
                <w:tcPr>
                  <w:tcW w:w="161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S9</w:t>
                  </w:r>
                </w:p>
              </w:tc>
              <w:tc>
                <w:tcPr>
                  <w:tcW w:w="67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废气处理</w:t>
                  </w:r>
                </w:p>
              </w:tc>
              <w:tc>
                <w:tcPr>
                  <w:tcW w:w="834" w:type="pct"/>
                  <w:shd w:val="clear" w:color="auto" w:fill="auto"/>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废过滤棉</w:t>
                  </w:r>
                </w:p>
              </w:tc>
              <w:tc>
                <w:tcPr>
                  <w:tcW w:w="161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S10</w:t>
                  </w:r>
                </w:p>
              </w:tc>
              <w:tc>
                <w:tcPr>
                  <w:tcW w:w="67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废气处理</w:t>
                  </w:r>
                </w:p>
              </w:tc>
              <w:tc>
                <w:tcPr>
                  <w:tcW w:w="834" w:type="pct"/>
                  <w:shd w:val="clear" w:color="auto" w:fill="auto"/>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废催化剂（主要成分陶瓷、铂、钯）</w:t>
                  </w:r>
                </w:p>
              </w:tc>
              <w:tc>
                <w:tcPr>
                  <w:tcW w:w="161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厂家回收</w:t>
                  </w: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S16</w:t>
                  </w:r>
                </w:p>
              </w:tc>
              <w:tc>
                <w:tcPr>
                  <w:tcW w:w="67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焊接</w:t>
                  </w:r>
                </w:p>
              </w:tc>
              <w:tc>
                <w:tcPr>
                  <w:tcW w:w="834" w:type="pct"/>
                  <w:shd w:val="clear" w:color="auto" w:fill="auto"/>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废气瓶</w:t>
                  </w:r>
                </w:p>
              </w:tc>
              <w:tc>
                <w:tcPr>
                  <w:tcW w:w="161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bCs/>
                      <w:color w:val="auto"/>
                      <w:kern w:val="24"/>
                      <w:sz w:val="21"/>
                      <w:szCs w:val="21"/>
                      <w:highlight w:val="none"/>
                    </w:rPr>
                    <w:t>S11</w:t>
                  </w:r>
                </w:p>
              </w:tc>
              <w:tc>
                <w:tcPr>
                  <w:tcW w:w="67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包装漆料</w:t>
                  </w:r>
                </w:p>
              </w:tc>
              <w:tc>
                <w:tcPr>
                  <w:tcW w:w="83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废漆料桶</w:t>
                  </w:r>
                </w:p>
              </w:tc>
              <w:tc>
                <w:tcPr>
                  <w:tcW w:w="161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委托有资质单位清运处置</w:t>
                  </w: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bCs/>
                      <w:color w:val="auto"/>
                      <w:kern w:val="24"/>
                      <w:sz w:val="21"/>
                      <w:szCs w:val="21"/>
                      <w:highlight w:val="none"/>
                    </w:rPr>
                  </w:pPr>
                  <w:r>
                    <w:rPr>
                      <w:rFonts w:ascii="Times New Roman" w:hAnsi="Times New Roman" w:cs="Times New Roman"/>
                      <w:bCs/>
                      <w:color w:val="auto"/>
                      <w:kern w:val="24"/>
                      <w:sz w:val="21"/>
                      <w:szCs w:val="21"/>
                      <w:highlight w:val="none"/>
                    </w:rPr>
                    <w:t>S12</w:t>
                  </w:r>
                </w:p>
              </w:tc>
              <w:tc>
                <w:tcPr>
                  <w:tcW w:w="67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Times New Roman" w:hAnsi="Times New Roman" w:cs="Times New Roman" w:eastAsiaTheme="minorEastAsia"/>
                      <w:color w:val="auto"/>
                      <w:sz w:val="21"/>
                      <w:szCs w:val="21"/>
                      <w:highlight w:val="none"/>
                      <w:lang w:eastAsia="zh-CN"/>
                    </w:rPr>
                  </w:pPr>
                  <w:r>
                    <w:rPr>
                      <w:rFonts w:ascii="Times New Roman" w:hAnsi="Times New Roman" w:cs="Times New Roman" w:eastAsiaTheme="minorEastAsia"/>
                      <w:color w:val="auto"/>
                      <w:sz w:val="21"/>
                      <w:szCs w:val="21"/>
                      <w:highlight w:val="none"/>
                    </w:rPr>
                    <w:t>设备</w:t>
                  </w:r>
                  <w:r>
                    <w:rPr>
                      <w:rFonts w:hint="eastAsia" w:ascii="Times New Roman" w:hAnsi="Times New Roman" w:cs="Times New Roman" w:eastAsiaTheme="minorEastAsia"/>
                      <w:color w:val="auto"/>
                      <w:sz w:val="21"/>
                      <w:szCs w:val="21"/>
                      <w:highlight w:val="none"/>
                      <w:lang w:eastAsia="zh-CN"/>
                    </w:rPr>
                    <w:t>围护</w:t>
                  </w:r>
                </w:p>
              </w:tc>
              <w:tc>
                <w:tcPr>
                  <w:tcW w:w="83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废油</w:t>
                  </w:r>
                </w:p>
              </w:tc>
              <w:tc>
                <w:tcPr>
                  <w:tcW w:w="161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bCs/>
                      <w:color w:val="auto"/>
                      <w:kern w:val="24"/>
                      <w:sz w:val="21"/>
                      <w:szCs w:val="21"/>
                      <w:highlight w:val="none"/>
                    </w:rPr>
                  </w:pPr>
                  <w:r>
                    <w:rPr>
                      <w:rFonts w:ascii="Times New Roman" w:hAnsi="Times New Roman" w:cs="Times New Roman"/>
                      <w:bCs/>
                      <w:color w:val="auto"/>
                      <w:kern w:val="24"/>
                      <w:sz w:val="21"/>
                      <w:szCs w:val="21"/>
                      <w:highlight w:val="none"/>
                    </w:rPr>
                    <w:t>S13</w:t>
                  </w:r>
                </w:p>
              </w:tc>
              <w:tc>
                <w:tcPr>
                  <w:tcW w:w="67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包装油类物质</w:t>
                  </w:r>
                </w:p>
              </w:tc>
              <w:tc>
                <w:tcPr>
                  <w:tcW w:w="83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废油桶</w:t>
                  </w:r>
                </w:p>
              </w:tc>
              <w:tc>
                <w:tcPr>
                  <w:tcW w:w="161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bCs/>
                      <w:color w:val="auto"/>
                      <w:kern w:val="24"/>
                      <w:sz w:val="21"/>
                      <w:szCs w:val="21"/>
                      <w:highlight w:val="none"/>
                    </w:rPr>
                  </w:pPr>
                  <w:r>
                    <w:rPr>
                      <w:rFonts w:ascii="Times New Roman" w:hAnsi="Times New Roman" w:cs="Times New Roman"/>
                      <w:bCs/>
                      <w:color w:val="auto"/>
                      <w:kern w:val="24"/>
                      <w:sz w:val="21"/>
                      <w:szCs w:val="21"/>
                      <w:highlight w:val="none"/>
                    </w:rPr>
                    <w:t>S16</w:t>
                  </w:r>
                </w:p>
              </w:tc>
              <w:tc>
                <w:tcPr>
                  <w:tcW w:w="676"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喷漆</w:t>
                  </w:r>
                </w:p>
              </w:tc>
              <w:tc>
                <w:tcPr>
                  <w:tcW w:w="83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废漆渣</w:t>
                  </w:r>
                </w:p>
              </w:tc>
              <w:tc>
                <w:tcPr>
                  <w:tcW w:w="161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455"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p>
              </w:tc>
              <w:tc>
                <w:tcPr>
                  <w:tcW w:w="518" w:type="pct"/>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S15</w:t>
                  </w:r>
                </w:p>
              </w:tc>
              <w:tc>
                <w:tcPr>
                  <w:tcW w:w="676" w:type="pct"/>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职工生活</w:t>
                  </w:r>
                </w:p>
              </w:tc>
              <w:tc>
                <w:tcPr>
                  <w:tcW w:w="834" w:type="pct"/>
                  <w:shd w:val="clear" w:color="auto" w:fill="auto"/>
                  <w:vAlign w:val="center"/>
                </w:tcPr>
                <w:p>
                  <w:pPr>
                    <w:pStyle w:val="67"/>
                    <w:keepNext w:val="0"/>
                    <w:keepLines w:val="0"/>
                    <w:pageBreakBefore w:val="0"/>
                    <w:widowControl w:val="0"/>
                    <w:kinsoku/>
                    <w:wordWrap/>
                    <w:overflowPunct/>
                    <w:topLinePunct w:val="0"/>
                    <w:autoSpaceDE/>
                    <w:autoSpaceDN/>
                    <w:bidi w:val="0"/>
                    <w:adjustRightInd w:val="0"/>
                    <w:snapToGrid/>
                    <w:spacing w:line="240" w:lineRule="auto"/>
                    <w:ind w:firstLine="0"/>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生活垃圾</w:t>
                  </w:r>
                </w:p>
              </w:tc>
              <w:tc>
                <w:tcPr>
                  <w:tcW w:w="1611"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城环委</w:t>
                  </w:r>
                  <w:r>
                    <w:rPr>
                      <w:rFonts w:ascii="Times New Roman" w:hAnsi="Times New Roman" w:cs="Times New Roman" w:eastAsiaTheme="minorEastAsia"/>
                      <w:color w:val="auto"/>
                      <w:sz w:val="21"/>
                      <w:szCs w:val="21"/>
                      <w:highlight w:val="none"/>
                    </w:rPr>
                    <w:t>清运处置</w:t>
                  </w:r>
                </w:p>
              </w:tc>
              <w:tc>
                <w:tcPr>
                  <w:tcW w:w="904" w:type="pct"/>
                  <w:shd w:val="clear" w:color="auto" w:fill="auto"/>
                  <w:vAlign w:val="center"/>
                </w:tcPr>
                <w:p>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color w:val="auto"/>
                      <w:sz w:val="21"/>
                      <w:szCs w:val="21"/>
                      <w:highlight w:val="none"/>
                    </w:rPr>
                    <w:t>/</w:t>
                  </w:r>
                </w:p>
              </w:tc>
            </w:tr>
          </w:tbl>
          <w:p>
            <w:pPr>
              <w:adjustRightInd w:val="0"/>
              <w:snapToGrid w:val="0"/>
              <w:spacing w:line="360" w:lineRule="auto"/>
              <w:rPr>
                <w:rFonts w:hint="default" w:ascii="Times New Roman" w:hAnsi="Times New Roman" w:cs="Times New Roman"/>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4" w:type="dxa"/>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
                <w:sz w:val="21"/>
                <w:szCs w:val="21"/>
                <w:highlight w:val="none"/>
              </w:rPr>
              <w:t>与项目有关的原有环境污染问题</w:t>
            </w:r>
          </w:p>
        </w:tc>
        <w:tc>
          <w:tcPr>
            <w:tcW w:w="8656" w:type="dxa"/>
          </w:tcPr>
          <w:p>
            <w:pPr>
              <w:pStyle w:val="67"/>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本项目选址位于</w:t>
            </w:r>
            <w:r>
              <w:rPr>
                <w:rFonts w:hint="eastAsia" w:cs="Times New Roman"/>
                <w:color w:val="auto"/>
                <w:highlight w:val="none"/>
                <w:lang w:eastAsia="zh-CN"/>
              </w:rPr>
              <w:t>天津市滨海新区大港海洋石化科技园区迎宾街623#</w:t>
            </w:r>
            <w:r>
              <w:rPr>
                <w:rFonts w:hint="default" w:ascii="Times New Roman" w:hAnsi="Times New Roman" w:cs="Times New Roman"/>
                <w:color w:val="auto"/>
                <w:highlight w:val="none"/>
              </w:rPr>
              <w:t>，地理坐标：东经117 度 27 分 31.075 秒， 北纬38 度 49 分 7.184秒，本项目租用天津鑫津机电设备制造有限公司厂区，厂区内包含两座生产车间和一栋办公楼，其中厂区内的北侧车间人为划分成两个车间，设置为生产车间1和生产车间2，厂区内南侧车间设置为生产车间3。本项目厂区占地面积为35868.7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，建筑面积为27256.23m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，生产车间均为1层钢结构，办公楼为2层钢结构。本项目厂界为厂院边界。本项目租赁厂房</w:t>
            </w:r>
            <w:r>
              <w:rPr>
                <w:rFonts w:hint="eastAsia" w:cs="Times New Roman"/>
                <w:color w:val="auto"/>
                <w:highlight w:val="none"/>
                <w:lang w:val="en-US" w:eastAsia="zh-CN"/>
              </w:rPr>
              <w:t>原用于机加工，不涉及喷漆，不涉及危险物质的储存、使用，不存在污染土壤、地下水的遗留情况</w:t>
            </w:r>
            <w:r>
              <w:rPr>
                <w:rFonts w:hint="default" w:ascii="Times New Roman" w:hAnsi="Times New Roman" w:cs="Times New Roman"/>
                <w:color w:val="auto"/>
                <w:highlight w:val="none"/>
              </w:rPr>
              <w:t>。因此，无与本项目有关的原有污染情况及主要环境问题。本项目租赁车间基础夯实，地面采用混凝土防渗，车间内部情况如下图所示：</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2"/>
              <w:gridCol w:w="4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499" w:type="pct"/>
                  <w:noWrap/>
                </w:tcPr>
                <w:p>
                  <w:pPr>
                    <w:pStyle w:val="92"/>
                    <w:ind w:firstLine="0" w:firstLineChars="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drawing>
                      <wp:inline distT="0" distB="0" distL="114300" distR="114300">
                        <wp:extent cx="2530475" cy="2617470"/>
                        <wp:effectExtent l="0" t="0" r="3175" b="11430"/>
                        <wp:docPr id="6" name="图片 6" descr="080959b3c40ebfdb88167ea32d02b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80959b3c40ebfdb88167ea32d02b0a"/>
                                <pic:cNvPicPr>
                                  <a:picLocks noChangeAspect="1"/>
                                </pic:cNvPicPr>
                              </pic:nvPicPr>
                              <pic:blipFill>
                                <a:blip r:embed="rId13"/>
                                <a:stretch>
                                  <a:fillRect/>
                                </a:stretch>
                              </pic:blipFill>
                              <pic:spPr>
                                <a:xfrm>
                                  <a:off x="0" y="0"/>
                                  <a:ext cx="2530475" cy="2617470"/>
                                </a:xfrm>
                                <a:prstGeom prst="rect">
                                  <a:avLst/>
                                </a:prstGeom>
                              </pic:spPr>
                            </pic:pic>
                          </a:graphicData>
                        </a:graphic>
                      </wp:inline>
                    </w:drawing>
                  </w:r>
                </w:p>
              </w:tc>
              <w:tc>
                <w:tcPr>
                  <w:tcW w:w="2500" w:type="pct"/>
                  <w:noWrap/>
                </w:tcPr>
                <w:p>
                  <w:pPr>
                    <w:pStyle w:val="92"/>
                    <w:ind w:firstLine="0" w:firstLineChars="0"/>
                    <w:jc w:val="center"/>
                    <w:rPr>
                      <w:rFonts w:hint="default" w:ascii="Times New Roman" w:hAnsi="Times New Roman" w:cs="Times New Roman"/>
                      <w:color w:val="auto"/>
                      <w:highlight w:val="none"/>
                    </w:rPr>
                  </w:pPr>
                  <w:r>
                    <w:rPr>
                      <w:rFonts w:hint="eastAsia" w:ascii="Times New Roman" w:hAnsi="Times New Roman" w:eastAsia="宋体" w:cs="Times New Roman"/>
                      <w:color w:val="auto"/>
                      <w:highlight w:val="none"/>
                      <w:lang w:eastAsia="zh-CN"/>
                    </w:rPr>
                    <w:drawing>
                      <wp:inline distT="0" distB="0" distL="114300" distR="114300">
                        <wp:extent cx="2530475" cy="2628265"/>
                        <wp:effectExtent l="0" t="0" r="3175" b="635"/>
                        <wp:docPr id="7" name="图片 7" descr="f14e963f733609c04d219db84bd7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14e963f733609c04d219db84bd738e"/>
                                <pic:cNvPicPr>
                                  <a:picLocks noChangeAspect="1"/>
                                </pic:cNvPicPr>
                              </pic:nvPicPr>
                              <pic:blipFill>
                                <a:blip r:embed="rId14"/>
                                <a:stretch>
                                  <a:fillRect/>
                                </a:stretch>
                              </pic:blipFill>
                              <pic:spPr>
                                <a:xfrm>
                                  <a:off x="0" y="0"/>
                                  <a:ext cx="2530475" cy="2628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499" w:type="pct"/>
                  <w:noWrap/>
                </w:tcPr>
                <w:p>
                  <w:pPr>
                    <w:pStyle w:val="92"/>
                    <w:ind w:firstLine="0" w:firstLineChars="0"/>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drawing>
                      <wp:inline distT="0" distB="0" distL="114300" distR="114300">
                        <wp:extent cx="2530475" cy="2365375"/>
                        <wp:effectExtent l="0" t="0" r="3175" b="15875"/>
                        <wp:docPr id="8" name="图片 8" descr="0c3b74aded05f9949e7609d1136d9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c3b74aded05f9949e7609d1136d9da"/>
                                <pic:cNvPicPr>
                                  <a:picLocks noChangeAspect="1"/>
                                </pic:cNvPicPr>
                              </pic:nvPicPr>
                              <pic:blipFill>
                                <a:blip r:embed="rId15"/>
                                <a:stretch>
                                  <a:fillRect/>
                                </a:stretch>
                              </pic:blipFill>
                              <pic:spPr>
                                <a:xfrm>
                                  <a:off x="0" y="0"/>
                                  <a:ext cx="2530475" cy="2365375"/>
                                </a:xfrm>
                                <a:prstGeom prst="rect">
                                  <a:avLst/>
                                </a:prstGeom>
                              </pic:spPr>
                            </pic:pic>
                          </a:graphicData>
                        </a:graphic>
                      </wp:inline>
                    </w:drawing>
                  </w:r>
                </w:p>
              </w:tc>
              <w:tc>
                <w:tcPr>
                  <w:tcW w:w="2500" w:type="pct"/>
                  <w:noWrap/>
                </w:tcPr>
                <w:p>
                  <w:pPr>
                    <w:pStyle w:val="92"/>
                    <w:ind w:firstLine="0" w:firstLineChars="0"/>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bl>
          <w:p>
            <w:pPr>
              <w:pStyle w:val="92"/>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图2-</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rPr>
              <w:t>租赁厂房现状</w:t>
            </w:r>
          </w:p>
          <w:p>
            <w:pPr>
              <w:pStyle w:val="92"/>
              <w:ind w:firstLine="0" w:firstLineChars="0"/>
              <w:jc w:val="center"/>
              <w:rPr>
                <w:rFonts w:hint="default" w:ascii="Times New Roman" w:hAnsi="Times New Roman" w:cs="Times New Roman"/>
                <w:b/>
                <w:bCs/>
                <w:color w:val="auto"/>
                <w:sz w:val="21"/>
                <w:szCs w:val="21"/>
                <w:highlight w:val="none"/>
              </w:rPr>
            </w:pPr>
          </w:p>
          <w:p>
            <w:pPr>
              <w:pStyle w:val="92"/>
              <w:ind w:firstLine="0" w:firstLineChars="0"/>
              <w:jc w:val="center"/>
              <w:rPr>
                <w:rFonts w:hint="default" w:ascii="Times New Roman" w:hAnsi="Times New Roman" w:cs="Times New Roman"/>
                <w:b/>
                <w:bCs/>
                <w:color w:val="auto"/>
                <w:sz w:val="21"/>
                <w:szCs w:val="21"/>
                <w:highlight w:val="none"/>
              </w:rPr>
            </w:pPr>
          </w:p>
          <w:p>
            <w:pPr>
              <w:pStyle w:val="92"/>
              <w:ind w:firstLine="0" w:firstLineChars="0"/>
              <w:jc w:val="center"/>
              <w:rPr>
                <w:rFonts w:hint="default" w:ascii="Times New Roman" w:hAnsi="Times New Roman" w:cs="Times New Roman"/>
                <w:b/>
                <w:bCs/>
                <w:color w:val="auto"/>
                <w:sz w:val="21"/>
                <w:szCs w:val="21"/>
                <w:highlight w:val="none"/>
              </w:rPr>
            </w:pPr>
          </w:p>
          <w:p>
            <w:pPr>
              <w:pStyle w:val="92"/>
              <w:ind w:firstLine="0" w:firstLineChars="0"/>
              <w:jc w:val="center"/>
              <w:rPr>
                <w:rFonts w:hint="default" w:ascii="Times New Roman" w:hAnsi="Times New Roman" w:cs="Times New Roman"/>
                <w:b/>
                <w:bCs/>
                <w:color w:val="auto"/>
                <w:sz w:val="21"/>
                <w:szCs w:val="21"/>
                <w:highlight w:val="none"/>
              </w:rPr>
            </w:pPr>
          </w:p>
          <w:p>
            <w:pPr>
              <w:pStyle w:val="92"/>
              <w:ind w:firstLine="0" w:firstLineChars="0"/>
              <w:jc w:val="center"/>
              <w:rPr>
                <w:rFonts w:hint="default" w:ascii="Times New Roman" w:hAnsi="Times New Roman" w:cs="Times New Roman"/>
                <w:b/>
                <w:bCs/>
                <w:color w:val="auto"/>
                <w:sz w:val="21"/>
                <w:szCs w:val="21"/>
                <w:highlight w:val="none"/>
              </w:rPr>
            </w:pPr>
          </w:p>
        </w:tc>
      </w:tr>
    </w:tbl>
    <w:p>
      <w:pPr>
        <w:pStyle w:val="25"/>
        <w:jc w:val="center"/>
        <w:rPr>
          <w:rFonts w:hint="default" w:ascii="Times New Roman" w:hAnsi="Times New Roman" w:eastAsia="黑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vAlign w:val="center"/>
          </w:tcPr>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区域</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质量</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现状</w:t>
            </w:r>
          </w:p>
        </w:tc>
        <w:tc>
          <w:tcPr>
            <w:tcW w:w="8605" w:type="dxa"/>
          </w:tcPr>
          <w:p>
            <w:pPr>
              <w:pStyle w:val="12"/>
              <w:adjustRightInd w:val="0"/>
              <w:spacing w:before="0" w:after="0" w:line="360" w:lineRule="auto"/>
              <w:ind w:right="0" w:firstLine="482" w:firstLineChars="200"/>
              <w:rPr>
                <w:rFonts w:hint="default" w:ascii="Times New Roman" w:hAnsi="Times New Roman" w:cs="Times New Roman"/>
                <w:color w:val="auto"/>
                <w:highlight w:val="none"/>
              </w:rPr>
            </w:pPr>
            <w:r>
              <w:rPr>
                <w:rFonts w:hint="default" w:ascii="Times New Roman" w:hAnsi="Times New Roman" w:cs="Times New Roman"/>
                <w:b/>
                <w:bCs/>
                <w:color w:val="auto"/>
                <w:sz w:val="24"/>
                <w:szCs w:val="24"/>
                <w:highlight w:val="none"/>
              </w:rPr>
              <w:t>1.环境空气质量现状调查</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（1）环境空气质量现状调查</w:t>
            </w:r>
          </w:p>
          <w:p>
            <w:pPr>
              <w:adjustRightInd w:val="0"/>
              <w:spacing w:before="48" w:beforeLines="20" w:line="360" w:lineRule="auto"/>
              <w:ind w:firstLine="480" w:firstLineChars="200"/>
              <w:jc w:val="left"/>
              <w:textAlignment w:val="baseline"/>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为了解拟建地区的环境空气质量的现状，本项目空气环境质量现状引用天津市生态环境局网站上公布的2022年天津市生态环境状况公报中</w:t>
            </w:r>
            <w:r>
              <w:rPr>
                <w:rFonts w:eastAsiaTheme="minorEastAsia"/>
                <w:color w:val="auto"/>
                <w:highlight w:val="none"/>
              </w:rPr>
              <w:t>滨海新区</w:t>
            </w:r>
            <w:r>
              <w:rPr>
                <w:rFonts w:hint="default" w:ascii="Times New Roman" w:hAnsi="Times New Roman" w:cs="Times New Roman"/>
                <w:color w:val="auto"/>
                <w:szCs w:val="24"/>
                <w:highlight w:val="none"/>
              </w:rPr>
              <w:t>的数据，对区域环境空气质量现状进行分析，统计结果见下表。</w:t>
            </w:r>
          </w:p>
          <w:p>
            <w:pPr>
              <w:spacing w:line="400" w:lineRule="exact"/>
              <w:jc w:val="center"/>
              <w:rPr>
                <w:rFonts w:hint="default" w:ascii="Times New Roman" w:hAnsi="Times New Roman" w:cs="Times New Roman"/>
                <w:b/>
                <w:bCs/>
                <w:color w:val="auto"/>
                <w:sz w:val="21"/>
                <w:szCs w:val="21"/>
                <w:highlight w:val="none"/>
                <w:vertAlign w:val="superscript"/>
              </w:rPr>
            </w:pPr>
            <w:r>
              <w:rPr>
                <w:rFonts w:hint="default" w:ascii="Times New Roman" w:hAnsi="Times New Roman" w:cs="Times New Roman"/>
                <w:b/>
                <w:bCs/>
                <w:color w:val="auto"/>
                <w:sz w:val="21"/>
                <w:szCs w:val="21"/>
                <w:highlight w:val="none"/>
              </w:rPr>
              <w:t>表3-1 2022年天津市滨海新区空气质量监测数据 单位：（除CO mg/m³）µg/m³</w:t>
            </w:r>
          </w:p>
          <w:tbl>
            <w:tblPr>
              <w:tblStyle w:val="29"/>
              <w:tblW w:w="5000" w:type="pct"/>
              <w:jc w:val="center"/>
              <w:tblLayout w:type="autofit"/>
              <w:tblCellMar>
                <w:top w:w="0" w:type="dxa"/>
                <w:left w:w="0" w:type="dxa"/>
                <w:bottom w:w="0" w:type="dxa"/>
                <w:right w:w="0" w:type="dxa"/>
              </w:tblCellMar>
            </w:tblPr>
            <w:tblGrid>
              <w:gridCol w:w="720"/>
              <w:gridCol w:w="953"/>
              <w:gridCol w:w="2656"/>
              <w:gridCol w:w="1131"/>
              <w:gridCol w:w="931"/>
              <w:gridCol w:w="1067"/>
              <w:gridCol w:w="931"/>
            </w:tblGrid>
            <w:tr>
              <w:tblPrEx>
                <w:tblCellMar>
                  <w:top w:w="0" w:type="dxa"/>
                  <w:left w:w="0" w:type="dxa"/>
                  <w:bottom w:w="0" w:type="dxa"/>
                  <w:right w:w="0" w:type="dxa"/>
                </w:tblCellMar>
              </w:tblPrEx>
              <w:trPr>
                <w:trHeight w:val="340" w:hRule="atLeast"/>
                <w:jc w:val="center"/>
              </w:trPr>
              <w:tc>
                <w:tcPr>
                  <w:tcW w:w="997" w:type="pct"/>
                  <w:gridSpan w:val="2"/>
                  <w:tcBorders>
                    <w:top w:val="single" w:color="000000" w:sz="6" w:space="0"/>
                    <w:left w:val="single" w:color="000000" w:sz="6"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污染物</w:t>
                  </w:r>
                </w:p>
              </w:tc>
              <w:tc>
                <w:tcPr>
                  <w:tcW w:w="1583" w:type="pct"/>
                  <w:tcBorders>
                    <w:top w:val="single" w:color="000000" w:sz="6"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年评价指标</w:t>
                  </w:r>
                </w:p>
              </w:tc>
              <w:tc>
                <w:tcPr>
                  <w:tcW w:w="674" w:type="pct"/>
                  <w:tcBorders>
                    <w:top w:val="single" w:color="000000" w:sz="6"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现状浓度</w:t>
                  </w:r>
                </w:p>
              </w:tc>
              <w:tc>
                <w:tcPr>
                  <w:tcW w:w="555" w:type="pct"/>
                  <w:tcBorders>
                    <w:top w:val="single" w:color="000000" w:sz="6"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标准值</w:t>
                  </w:r>
                </w:p>
              </w:tc>
              <w:tc>
                <w:tcPr>
                  <w:tcW w:w="636" w:type="pct"/>
                  <w:tcBorders>
                    <w:top w:val="single" w:color="000000" w:sz="6"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占标率/%</w:t>
                  </w:r>
                </w:p>
              </w:tc>
              <w:tc>
                <w:tcPr>
                  <w:tcW w:w="555" w:type="pct"/>
                  <w:tcBorders>
                    <w:top w:val="single" w:color="000000" w:sz="6" w:space="0"/>
                    <w:left w:val="single" w:color="000000" w:sz="4" w:space="0"/>
                    <w:bottom w:val="single" w:color="000000" w:sz="4" w:space="0"/>
                    <w:right w:val="single" w:color="000000" w:sz="6"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达标情况</w:t>
                  </w:r>
                </w:p>
              </w:tc>
            </w:tr>
            <w:tr>
              <w:tblPrEx>
                <w:tblCellMar>
                  <w:top w:w="0" w:type="dxa"/>
                  <w:left w:w="0" w:type="dxa"/>
                  <w:bottom w:w="0" w:type="dxa"/>
                  <w:right w:w="0" w:type="dxa"/>
                </w:tblCellMar>
              </w:tblPrEx>
              <w:trPr>
                <w:trHeight w:val="340" w:hRule="atLeast"/>
                <w:jc w:val="center"/>
              </w:trPr>
              <w:tc>
                <w:tcPr>
                  <w:tcW w:w="429" w:type="pct"/>
                  <w:vMerge w:val="restart"/>
                  <w:tcBorders>
                    <w:top w:val="single" w:color="000000" w:sz="4" w:space="0"/>
                    <w:left w:val="single" w:color="000000" w:sz="6"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滨海新区</w:t>
                  </w:r>
                </w:p>
              </w:tc>
              <w:tc>
                <w:tcPr>
                  <w:tcW w:w="567" w:type="pct"/>
                  <w:tcBorders>
                    <w:top w:val="single" w:color="000000" w:sz="4" w:space="0"/>
                    <w:left w:val="single" w:color="000000" w:sz="6"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PM</w:t>
                  </w:r>
                  <w:r>
                    <w:rPr>
                      <w:rFonts w:eastAsiaTheme="minorEastAsia"/>
                      <w:bCs/>
                      <w:snapToGrid/>
                      <w:color w:val="auto"/>
                      <w:kern w:val="2"/>
                      <w:szCs w:val="21"/>
                      <w:highlight w:val="none"/>
                      <w:vertAlign w:val="subscript"/>
                    </w:rPr>
                    <w:t>2.5</w:t>
                  </w:r>
                </w:p>
              </w:tc>
              <w:tc>
                <w:tcPr>
                  <w:tcW w:w="1583" w:type="pct"/>
                  <w:vMerge w:val="restart"/>
                  <w:tcBorders>
                    <w:top w:val="single" w:color="000000" w:sz="4" w:space="0"/>
                    <w:left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年平均质量浓度</w:t>
                  </w:r>
                </w:p>
              </w:tc>
              <w:tc>
                <w:tcPr>
                  <w:tcW w:w="674"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36</w:t>
                  </w:r>
                </w:p>
              </w:tc>
              <w:tc>
                <w:tcPr>
                  <w:tcW w:w="555"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35</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103</w:t>
                  </w:r>
                </w:p>
              </w:tc>
              <w:tc>
                <w:tcPr>
                  <w:tcW w:w="555" w:type="pct"/>
                  <w:tcBorders>
                    <w:top w:val="single" w:color="000000" w:sz="4" w:space="0"/>
                    <w:left w:val="single" w:color="000000" w:sz="4" w:space="0"/>
                    <w:bottom w:val="single" w:color="000000" w:sz="4" w:space="0"/>
                    <w:right w:val="single" w:color="000000" w:sz="6"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不达标</w:t>
                  </w:r>
                </w:p>
              </w:tc>
            </w:tr>
            <w:tr>
              <w:tblPrEx>
                <w:tblCellMar>
                  <w:top w:w="0" w:type="dxa"/>
                  <w:left w:w="0" w:type="dxa"/>
                  <w:bottom w:w="0" w:type="dxa"/>
                  <w:right w:w="0" w:type="dxa"/>
                </w:tblCellMar>
              </w:tblPrEx>
              <w:trPr>
                <w:trHeight w:val="340" w:hRule="atLeast"/>
                <w:jc w:val="center"/>
              </w:trPr>
              <w:tc>
                <w:tcPr>
                  <w:tcW w:w="429" w:type="pct"/>
                  <w:vMerge w:val="continue"/>
                  <w:tcBorders>
                    <w:left w:val="single" w:color="000000" w:sz="6" w:space="0"/>
                    <w:right w:val="single" w:color="000000" w:sz="4" w:space="0"/>
                  </w:tcBorders>
                  <w:vAlign w:val="center"/>
                </w:tcPr>
                <w:p>
                  <w:pPr>
                    <w:pStyle w:val="110"/>
                    <w:rPr>
                      <w:rFonts w:eastAsiaTheme="minorEastAsia"/>
                      <w:bCs/>
                      <w:snapToGrid/>
                      <w:color w:val="auto"/>
                      <w:kern w:val="2"/>
                      <w:szCs w:val="21"/>
                      <w:highlight w:val="none"/>
                    </w:rPr>
                  </w:pPr>
                </w:p>
              </w:tc>
              <w:tc>
                <w:tcPr>
                  <w:tcW w:w="567" w:type="pct"/>
                  <w:tcBorders>
                    <w:top w:val="single" w:color="000000" w:sz="4" w:space="0"/>
                    <w:left w:val="single" w:color="000000" w:sz="6"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PM</w:t>
                  </w:r>
                  <w:r>
                    <w:rPr>
                      <w:rFonts w:eastAsiaTheme="minorEastAsia"/>
                      <w:bCs/>
                      <w:snapToGrid/>
                      <w:color w:val="auto"/>
                      <w:kern w:val="2"/>
                      <w:szCs w:val="21"/>
                      <w:highlight w:val="none"/>
                      <w:vertAlign w:val="subscript"/>
                    </w:rPr>
                    <w:t>10</w:t>
                  </w:r>
                </w:p>
              </w:tc>
              <w:tc>
                <w:tcPr>
                  <w:tcW w:w="1583" w:type="pct"/>
                  <w:vMerge w:val="continue"/>
                  <w:tcBorders>
                    <w:left w:val="single" w:color="000000" w:sz="4" w:space="0"/>
                    <w:right w:val="single" w:color="000000" w:sz="4" w:space="0"/>
                  </w:tcBorders>
                  <w:vAlign w:val="center"/>
                </w:tcPr>
                <w:p>
                  <w:pPr>
                    <w:pStyle w:val="110"/>
                    <w:rPr>
                      <w:rFonts w:eastAsiaTheme="minorEastAsia"/>
                      <w:bCs/>
                      <w:snapToGrid/>
                      <w:color w:val="auto"/>
                      <w:kern w:val="2"/>
                      <w:szCs w:val="21"/>
                      <w:highlight w:val="none"/>
                    </w:rPr>
                  </w:pPr>
                </w:p>
              </w:tc>
              <w:tc>
                <w:tcPr>
                  <w:tcW w:w="674"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64</w:t>
                  </w:r>
                </w:p>
              </w:tc>
              <w:tc>
                <w:tcPr>
                  <w:tcW w:w="555"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70</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91</w:t>
                  </w:r>
                </w:p>
              </w:tc>
              <w:tc>
                <w:tcPr>
                  <w:tcW w:w="555" w:type="pct"/>
                  <w:tcBorders>
                    <w:top w:val="single" w:color="000000" w:sz="4" w:space="0"/>
                    <w:left w:val="single" w:color="000000" w:sz="4" w:space="0"/>
                    <w:bottom w:val="single" w:color="000000" w:sz="4" w:space="0"/>
                    <w:right w:val="single" w:color="000000" w:sz="6"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达标</w:t>
                  </w:r>
                </w:p>
              </w:tc>
            </w:tr>
            <w:tr>
              <w:tblPrEx>
                <w:tblCellMar>
                  <w:top w:w="0" w:type="dxa"/>
                  <w:left w:w="0" w:type="dxa"/>
                  <w:bottom w:w="0" w:type="dxa"/>
                  <w:right w:w="0" w:type="dxa"/>
                </w:tblCellMar>
              </w:tblPrEx>
              <w:trPr>
                <w:trHeight w:val="340" w:hRule="atLeast"/>
                <w:jc w:val="center"/>
              </w:trPr>
              <w:tc>
                <w:tcPr>
                  <w:tcW w:w="429" w:type="pct"/>
                  <w:vMerge w:val="continue"/>
                  <w:tcBorders>
                    <w:left w:val="single" w:color="000000" w:sz="6" w:space="0"/>
                    <w:right w:val="single" w:color="000000" w:sz="4" w:space="0"/>
                  </w:tcBorders>
                  <w:vAlign w:val="center"/>
                </w:tcPr>
                <w:p>
                  <w:pPr>
                    <w:pStyle w:val="110"/>
                    <w:rPr>
                      <w:rFonts w:eastAsiaTheme="minorEastAsia"/>
                      <w:bCs/>
                      <w:snapToGrid/>
                      <w:color w:val="auto"/>
                      <w:kern w:val="2"/>
                      <w:szCs w:val="21"/>
                      <w:highlight w:val="none"/>
                    </w:rPr>
                  </w:pPr>
                </w:p>
              </w:tc>
              <w:tc>
                <w:tcPr>
                  <w:tcW w:w="567" w:type="pct"/>
                  <w:tcBorders>
                    <w:top w:val="single" w:color="000000" w:sz="4" w:space="0"/>
                    <w:left w:val="single" w:color="000000" w:sz="6"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SO</w:t>
                  </w:r>
                  <w:r>
                    <w:rPr>
                      <w:rFonts w:eastAsiaTheme="minorEastAsia"/>
                      <w:bCs/>
                      <w:snapToGrid/>
                      <w:color w:val="auto"/>
                      <w:kern w:val="2"/>
                      <w:szCs w:val="21"/>
                      <w:highlight w:val="none"/>
                      <w:vertAlign w:val="subscript"/>
                    </w:rPr>
                    <w:t>2</w:t>
                  </w:r>
                </w:p>
              </w:tc>
              <w:tc>
                <w:tcPr>
                  <w:tcW w:w="1583" w:type="pct"/>
                  <w:vMerge w:val="continue"/>
                  <w:tcBorders>
                    <w:left w:val="single" w:color="000000" w:sz="4" w:space="0"/>
                    <w:right w:val="single" w:color="000000" w:sz="4" w:space="0"/>
                  </w:tcBorders>
                  <w:vAlign w:val="center"/>
                </w:tcPr>
                <w:p>
                  <w:pPr>
                    <w:pStyle w:val="110"/>
                    <w:rPr>
                      <w:rFonts w:eastAsiaTheme="minorEastAsia"/>
                      <w:bCs/>
                      <w:snapToGrid/>
                      <w:color w:val="auto"/>
                      <w:kern w:val="2"/>
                      <w:szCs w:val="21"/>
                      <w:highlight w:val="none"/>
                    </w:rPr>
                  </w:pPr>
                </w:p>
              </w:tc>
              <w:tc>
                <w:tcPr>
                  <w:tcW w:w="674"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9</w:t>
                  </w:r>
                </w:p>
              </w:tc>
              <w:tc>
                <w:tcPr>
                  <w:tcW w:w="555"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60</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15</w:t>
                  </w:r>
                </w:p>
              </w:tc>
              <w:tc>
                <w:tcPr>
                  <w:tcW w:w="555" w:type="pct"/>
                  <w:tcBorders>
                    <w:top w:val="single" w:color="000000" w:sz="4" w:space="0"/>
                    <w:left w:val="single" w:color="000000" w:sz="4" w:space="0"/>
                    <w:bottom w:val="single" w:color="000000" w:sz="4" w:space="0"/>
                    <w:right w:val="single" w:color="000000" w:sz="6"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达标</w:t>
                  </w:r>
                </w:p>
              </w:tc>
            </w:tr>
            <w:tr>
              <w:tblPrEx>
                <w:tblCellMar>
                  <w:top w:w="0" w:type="dxa"/>
                  <w:left w:w="0" w:type="dxa"/>
                  <w:bottom w:w="0" w:type="dxa"/>
                  <w:right w:w="0" w:type="dxa"/>
                </w:tblCellMar>
              </w:tblPrEx>
              <w:trPr>
                <w:trHeight w:val="340" w:hRule="atLeast"/>
                <w:jc w:val="center"/>
              </w:trPr>
              <w:tc>
                <w:tcPr>
                  <w:tcW w:w="429" w:type="pct"/>
                  <w:vMerge w:val="continue"/>
                  <w:tcBorders>
                    <w:left w:val="single" w:color="000000" w:sz="6" w:space="0"/>
                    <w:right w:val="single" w:color="000000" w:sz="4" w:space="0"/>
                  </w:tcBorders>
                  <w:vAlign w:val="center"/>
                </w:tcPr>
                <w:p>
                  <w:pPr>
                    <w:pStyle w:val="110"/>
                    <w:rPr>
                      <w:rFonts w:eastAsiaTheme="minorEastAsia"/>
                      <w:bCs/>
                      <w:snapToGrid/>
                      <w:color w:val="auto"/>
                      <w:kern w:val="2"/>
                      <w:szCs w:val="21"/>
                      <w:highlight w:val="none"/>
                    </w:rPr>
                  </w:pPr>
                </w:p>
              </w:tc>
              <w:tc>
                <w:tcPr>
                  <w:tcW w:w="567" w:type="pct"/>
                  <w:tcBorders>
                    <w:top w:val="single" w:color="000000" w:sz="4" w:space="0"/>
                    <w:left w:val="single" w:color="000000" w:sz="6"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NO</w:t>
                  </w:r>
                  <w:r>
                    <w:rPr>
                      <w:rFonts w:eastAsiaTheme="minorEastAsia"/>
                      <w:bCs/>
                      <w:snapToGrid/>
                      <w:color w:val="auto"/>
                      <w:kern w:val="2"/>
                      <w:szCs w:val="21"/>
                      <w:highlight w:val="none"/>
                      <w:vertAlign w:val="subscript"/>
                    </w:rPr>
                    <w:t>2</w:t>
                  </w:r>
                </w:p>
              </w:tc>
              <w:tc>
                <w:tcPr>
                  <w:tcW w:w="1583" w:type="pct"/>
                  <w:vMerge w:val="continue"/>
                  <w:tcBorders>
                    <w:left w:val="single" w:color="000000" w:sz="4" w:space="0"/>
                    <w:bottom w:val="single" w:color="auto" w:sz="4" w:space="0"/>
                    <w:right w:val="single" w:color="000000" w:sz="4" w:space="0"/>
                  </w:tcBorders>
                  <w:vAlign w:val="center"/>
                </w:tcPr>
                <w:p>
                  <w:pPr>
                    <w:pStyle w:val="110"/>
                    <w:rPr>
                      <w:rFonts w:eastAsiaTheme="minorEastAsia"/>
                      <w:bCs/>
                      <w:snapToGrid/>
                      <w:color w:val="auto"/>
                      <w:kern w:val="2"/>
                      <w:szCs w:val="21"/>
                      <w:highlight w:val="none"/>
                    </w:rPr>
                  </w:pPr>
                </w:p>
              </w:tc>
              <w:tc>
                <w:tcPr>
                  <w:tcW w:w="674"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34</w:t>
                  </w:r>
                </w:p>
              </w:tc>
              <w:tc>
                <w:tcPr>
                  <w:tcW w:w="555"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40</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85</w:t>
                  </w:r>
                </w:p>
              </w:tc>
              <w:tc>
                <w:tcPr>
                  <w:tcW w:w="555" w:type="pct"/>
                  <w:tcBorders>
                    <w:top w:val="single" w:color="000000" w:sz="4" w:space="0"/>
                    <w:left w:val="single" w:color="000000" w:sz="4" w:space="0"/>
                    <w:bottom w:val="single" w:color="000000" w:sz="4" w:space="0"/>
                    <w:right w:val="single" w:color="000000" w:sz="6"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达标</w:t>
                  </w:r>
                </w:p>
              </w:tc>
            </w:tr>
            <w:tr>
              <w:tblPrEx>
                <w:tblCellMar>
                  <w:top w:w="0" w:type="dxa"/>
                  <w:left w:w="0" w:type="dxa"/>
                  <w:bottom w:w="0" w:type="dxa"/>
                  <w:right w:w="0" w:type="dxa"/>
                </w:tblCellMar>
              </w:tblPrEx>
              <w:trPr>
                <w:trHeight w:val="340" w:hRule="atLeast"/>
                <w:jc w:val="center"/>
              </w:trPr>
              <w:tc>
                <w:tcPr>
                  <w:tcW w:w="429" w:type="pct"/>
                  <w:vMerge w:val="continue"/>
                  <w:tcBorders>
                    <w:left w:val="single" w:color="000000" w:sz="6" w:space="0"/>
                    <w:right w:val="single" w:color="000000" w:sz="4" w:space="0"/>
                  </w:tcBorders>
                  <w:vAlign w:val="center"/>
                </w:tcPr>
                <w:p>
                  <w:pPr>
                    <w:pStyle w:val="110"/>
                    <w:rPr>
                      <w:rFonts w:eastAsiaTheme="minorEastAsia"/>
                      <w:bCs/>
                      <w:snapToGrid/>
                      <w:color w:val="auto"/>
                      <w:kern w:val="2"/>
                      <w:szCs w:val="21"/>
                      <w:highlight w:val="none"/>
                    </w:rPr>
                  </w:pPr>
                </w:p>
              </w:tc>
              <w:tc>
                <w:tcPr>
                  <w:tcW w:w="567" w:type="pct"/>
                  <w:tcBorders>
                    <w:top w:val="single" w:color="000000" w:sz="4" w:space="0"/>
                    <w:left w:val="single" w:color="000000" w:sz="6"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CO</w:t>
                  </w:r>
                </w:p>
              </w:tc>
              <w:tc>
                <w:tcPr>
                  <w:tcW w:w="1583" w:type="pct"/>
                  <w:tcBorders>
                    <w:top w:val="single" w:color="auto" w:sz="4" w:space="0"/>
                    <w:left w:val="single" w:color="000000" w:sz="4" w:space="0"/>
                    <w:bottom w:val="single" w:color="auto"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24h平均浓度第95百分位数</w:t>
                  </w:r>
                </w:p>
              </w:tc>
              <w:tc>
                <w:tcPr>
                  <w:tcW w:w="674"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1.2</w:t>
                  </w:r>
                </w:p>
              </w:tc>
              <w:tc>
                <w:tcPr>
                  <w:tcW w:w="555"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4</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30</w:t>
                  </w:r>
                </w:p>
              </w:tc>
              <w:tc>
                <w:tcPr>
                  <w:tcW w:w="555" w:type="pct"/>
                  <w:tcBorders>
                    <w:top w:val="single" w:color="000000" w:sz="4" w:space="0"/>
                    <w:left w:val="single" w:color="000000" w:sz="4" w:space="0"/>
                    <w:bottom w:val="single" w:color="000000" w:sz="4" w:space="0"/>
                    <w:right w:val="single" w:color="000000" w:sz="6"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达标</w:t>
                  </w:r>
                </w:p>
              </w:tc>
            </w:tr>
            <w:tr>
              <w:tblPrEx>
                <w:tblCellMar>
                  <w:top w:w="0" w:type="dxa"/>
                  <w:left w:w="0" w:type="dxa"/>
                  <w:bottom w:w="0" w:type="dxa"/>
                  <w:right w:w="0" w:type="dxa"/>
                </w:tblCellMar>
              </w:tblPrEx>
              <w:trPr>
                <w:trHeight w:val="340" w:hRule="atLeast"/>
                <w:jc w:val="center"/>
              </w:trPr>
              <w:tc>
                <w:tcPr>
                  <w:tcW w:w="429" w:type="pct"/>
                  <w:vMerge w:val="continue"/>
                  <w:tcBorders>
                    <w:left w:val="single" w:color="000000" w:sz="6"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p>
              </w:tc>
              <w:tc>
                <w:tcPr>
                  <w:tcW w:w="567" w:type="pct"/>
                  <w:tcBorders>
                    <w:top w:val="single" w:color="000000" w:sz="4" w:space="0"/>
                    <w:left w:val="single" w:color="000000" w:sz="6"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O</w:t>
                  </w:r>
                  <w:r>
                    <w:rPr>
                      <w:rFonts w:eastAsiaTheme="minorEastAsia"/>
                      <w:bCs/>
                      <w:snapToGrid/>
                      <w:color w:val="auto"/>
                      <w:kern w:val="2"/>
                      <w:szCs w:val="21"/>
                      <w:highlight w:val="none"/>
                      <w:vertAlign w:val="subscript"/>
                    </w:rPr>
                    <w:t>3</w:t>
                  </w:r>
                </w:p>
              </w:tc>
              <w:tc>
                <w:tcPr>
                  <w:tcW w:w="1583" w:type="pct"/>
                  <w:tcBorders>
                    <w:top w:val="single" w:color="auto"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8h平均浓度第90百分位数</w:t>
                  </w:r>
                </w:p>
              </w:tc>
              <w:tc>
                <w:tcPr>
                  <w:tcW w:w="674"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169</w:t>
                  </w:r>
                </w:p>
              </w:tc>
              <w:tc>
                <w:tcPr>
                  <w:tcW w:w="555"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160</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106</w:t>
                  </w:r>
                </w:p>
              </w:tc>
              <w:tc>
                <w:tcPr>
                  <w:tcW w:w="555" w:type="pct"/>
                  <w:tcBorders>
                    <w:top w:val="single" w:color="000000" w:sz="4" w:space="0"/>
                    <w:left w:val="single" w:color="000000" w:sz="4" w:space="0"/>
                    <w:bottom w:val="single" w:color="000000" w:sz="4" w:space="0"/>
                    <w:right w:val="single" w:color="000000" w:sz="6" w:space="0"/>
                  </w:tcBorders>
                  <w:vAlign w:val="center"/>
                </w:tcPr>
                <w:p>
                  <w:pPr>
                    <w:pStyle w:val="110"/>
                    <w:rPr>
                      <w:rFonts w:eastAsiaTheme="minorEastAsia"/>
                      <w:bCs/>
                      <w:snapToGrid/>
                      <w:color w:val="auto"/>
                      <w:kern w:val="2"/>
                      <w:szCs w:val="21"/>
                      <w:highlight w:val="none"/>
                    </w:rPr>
                  </w:pPr>
                  <w:r>
                    <w:rPr>
                      <w:rFonts w:eastAsiaTheme="minorEastAsia"/>
                      <w:bCs/>
                      <w:snapToGrid/>
                      <w:color w:val="auto"/>
                      <w:kern w:val="2"/>
                      <w:szCs w:val="21"/>
                      <w:highlight w:val="none"/>
                    </w:rPr>
                    <w:t>不达标</w:t>
                  </w:r>
                </w:p>
              </w:tc>
            </w:tr>
          </w:tbl>
          <w:p>
            <w:pPr>
              <w:pStyle w:val="108"/>
              <w:ind w:firstLineChars="0"/>
              <w:rPr>
                <w:rFonts w:eastAsiaTheme="minorEastAsia"/>
                <w:color w:val="auto"/>
                <w:highlight w:val="none"/>
              </w:rPr>
            </w:pPr>
            <w:r>
              <w:rPr>
                <w:rFonts w:eastAsiaTheme="minorEastAsia"/>
                <w:color w:val="auto"/>
                <w:szCs w:val="24"/>
                <w:highlight w:val="none"/>
              </w:rPr>
              <w:t>由上表可知，</w:t>
            </w:r>
            <w:r>
              <w:rPr>
                <w:rFonts w:eastAsiaTheme="minorEastAsia"/>
                <w:color w:val="auto"/>
                <w:highlight w:val="none"/>
              </w:rPr>
              <w:t>该地区环境空气基本污染物中PM</w:t>
            </w:r>
            <w:r>
              <w:rPr>
                <w:rFonts w:eastAsiaTheme="minorEastAsia"/>
                <w:color w:val="auto"/>
                <w:highlight w:val="none"/>
                <w:vertAlign w:val="subscript"/>
              </w:rPr>
              <w:t>10</w:t>
            </w:r>
            <w:r>
              <w:rPr>
                <w:rFonts w:eastAsiaTheme="minorEastAsia"/>
                <w:color w:val="auto"/>
                <w:highlight w:val="none"/>
              </w:rPr>
              <w:t>、SO</w:t>
            </w:r>
            <w:r>
              <w:rPr>
                <w:rFonts w:eastAsiaTheme="minorEastAsia"/>
                <w:color w:val="auto"/>
                <w:highlight w:val="none"/>
                <w:vertAlign w:val="subscript"/>
              </w:rPr>
              <w:t>2</w:t>
            </w:r>
            <w:r>
              <w:rPr>
                <w:rFonts w:eastAsiaTheme="minorEastAsia"/>
                <w:color w:val="auto"/>
                <w:highlight w:val="none"/>
              </w:rPr>
              <w:t>、NO</w:t>
            </w:r>
            <w:r>
              <w:rPr>
                <w:rFonts w:eastAsiaTheme="minorEastAsia"/>
                <w:color w:val="auto"/>
                <w:highlight w:val="none"/>
                <w:vertAlign w:val="subscript"/>
              </w:rPr>
              <w:t>2</w:t>
            </w:r>
            <w:r>
              <w:rPr>
                <w:rFonts w:eastAsiaTheme="minorEastAsia"/>
                <w:color w:val="auto"/>
                <w:highlight w:val="none"/>
              </w:rPr>
              <w:t>、CO 24h平均浓度第95百分位数年平均质量浓度均达到《环境空气质量标准》（GB 3095-2012）及其修改单中二级浓度限值，PM</w:t>
            </w:r>
            <w:r>
              <w:rPr>
                <w:rFonts w:eastAsiaTheme="minorEastAsia"/>
                <w:color w:val="auto"/>
                <w:highlight w:val="none"/>
                <w:vertAlign w:val="subscript"/>
              </w:rPr>
              <w:t>2.5</w:t>
            </w:r>
            <w:r>
              <w:rPr>
                <w:rFonts w:eastAsiaTheme="minorEastAsia"/>
                <w:color w:val="auto"/>
                <w:highlight w:val="none"/>
              </w:rPr>
              <w:t>年平均质量浓度、O</w:t>
            </w:r>
            <w:r>
              <w:rPr>
                <w:rFonts w:eastAsiaTheme="minorEastAsia"/>
                <w:color w:val="auto"/>
                <w:highlight w:val="none"/>
                <w:vertAlign w:val="subscript"/>
              </w:rPr>
              <w:t>3</w:t>
            </w:r>
            <w:r>
              <w:rPr>
                <w:rFonts w:eastAsiaTheme="minorEastAsia"/>
                <w:color w:val="auto"/>
                <w:highlight w:val="none"/>
              </w:rPr>
              <w:t>日最大8h平均浓度第90百分位数不满足《环境空气质量标准》（GB 3095-2012）及其修改单中浓度限值要求。六项污染物没有全部达标，故本项目所在区域为不达标区。</w:t>
            </w:r>
          </w:p>
          <w:p>
            <w:pPr>
              <w:pStyle w:val="108"/>
              <w:ind w:firstLineChars="0"/>
              <w:rPr>
                <w:rFonts w:eastAsiaTheme="minorEastAsia"/>
                <w:color w:val="auto"/>
                <w:highlight w:val="none"/>
              </w:rPr>
            </w:pPr>
            <w:r>
              <w:rPr>
                <w:rFonts w:eastAsiaTheme="minorEastAsia"/>
                <w:color w:val="auto"/>
                <w:szCs w:val="20"/>
                <w:highlight w:val="none"/>
              </w:rPr>
              <w:t>为改善环境空气质量，天津市通过加快以细颗粒物、臭氧为重点的大气污染治理，空气质量将逐年好转。参照天津市印发的《关于印发</w:t>
            </w:r>
            <w:r>
              <w:rPr>
                <w:color w:val="auto"/>
                <w:highlight w:val="none"/>
              </w:rPr>
              <w:t>天津市深入打好污染防治攻坚战2023年工作计划的通知</w:t>
            </w:r>
            <w:r>
              <w:rPr>
                <w:rFonts w:eastAsiaTheme="minorEastAsia"/>
                <w:color w:val="auto"/>
                <w:szCs w:val="20"/>
                <w:highlight w:val="none"/>
              </w:rPr>
              <w:t>》（</w:t>
            </w:r>
            <w:r>
              <w:rPr>
                <w:color w:val="auto"/>
                <w:highlight w:val="none"/>
              </w:rPr>
              <w:t>津污防攻坚指[2023]1号</w:t>
            </w:r>
            <w:r>
              <w:rPr>
                <w:rFonts w:eastAsiaTheme="minorEastAsia"/>
                <w:color w:val="auto"/>
                <w:szCs w:val="20"/>
                <w:highlight w:val="none"/>
              </w:rPr>
              <w:t>），通过深入推动碳达峰行动，着力打好重污染天气消除攻坚战、臭氧污染防治攻坚战等措施。</w:t>
            </w:r>
          </w:p>
          <w:p>
            <w:pPr>
              <w:adjustRightInd w:val="0"/>
              <w:spacing w:line="360" w:lineRule="auto"/>
              <w:ind w:firstLine="482" w:firstLineChars="200"/>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2.其他污染物环境空气质量现状调查</w:t>
            </w:r>
          </w:p>
          <w:p>
            <w:pPr>
              <w:autoSpaceDE w:val="0"/>
              <w:autoSpaceDN w:val="0"/>
              <w:adjustRightInd w:val="0"/>
              <w:spacing w:line="360" w:lineRule="auto"/>
              <w:ind w:firstLine="480" w:firstLineChars="200"/>
              <w:jc w:val="left"/>
              <w:rPr>
                <w:rFonts w:eastAsiaTheme="minorEastAsia"/>
                <w:color w:val="auto"/>
                <w:highlight w:val="none"/>
              </w:rPr>
            </w:pPr>
            <w:r>
              <w:rPr>
                <w:rFonts w:hint="default" w:ascii="Times New Roman" w:hAnsi="Times New Roman" w:cs="Times New Roman"/>
                <w:bCs/>
                <w:color w:val="auto"/>
                <w:highlight w:val="none"/>
              </w:rPr>
              <w:t>本项目的特征污染物为非甲烷总烃。本次评价引用天津市宇相津准科技有限公司对天津市赛泓环境工程有限公司厂址处非甲烷总烃现状监测数据，监测点位为本项目东南方向，距离本项目约1.</w:t>
            </w:r>
            <w:r>
              <w:rPr>
                <w:rFonts w:hint="eastAsia" w:cs="Times New Roman"/>
                <w:bCs/>
                <w:color w:val="auto"/>
                <w:highlight w:val="none"/>
                <w:lang w:val="en-US" w:eastAsia="zh-CN"/>
              </w:rPr>
              <w:t>1</w:t>
            </w:r>
            <w:r>
              <w:rPr>
                <w:rFonts w:hint="default" w:ascii="Times New Roman" w:hAnsi="Times New Roman" w:cs="Times New Roman"/>
                <w:bCs/>
                <w:color w:val="auto"/>
                <w:highlight w:val="none"/>
              </w:rPr>
              <w:t>km。监测时间为2021年10月9日-2021年10月15日，监测频次为每天4次。监测期间，风速为1.1~2.2m/s，最高气温为21.4℃，最低气温为7.5℃</w:t>
            </w:r>
            <w:r>
              <w:rPr>
                <w:rFonts w:hint="eastAsia" w:cs="Times New Roman"/>
                <w:bCs/>
                <w:color w:val="auto"/>
                <w:highlight w:val="none"/>
                <w:lang w:eastAsia="zh-CN"/>
              </w:rPr>
              <w:t>。</w:t>
            </w:r>
            <w:r>
              <w:rPr>
                <w:rFonts w:eastAsiaTheme="minorEastAsia"/>
                <w:color w:val="auto"/>
                <w:kern w:val="0"/>
                <w:sz w:val="24"/>
                <w:highlight w:val="none"/>
              </w:rPr>
              <w:t>监测结果见下表。</w:t>
            </w:r>
            <w:r>
              <w:rPr>
                <w:rFonts w:eastAsiaTheme="minorEastAsia"/>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530860</wp:posOffset>
                      </wp:positionH>
                      <wp:positionV relativeFrom="paragraph">
                        <wp:posOffset>4787265</wp:posOffset>
                      </wp:positionV>
                      <wp:extent cx="491490" cy="285750"/>
                      <wp:effectExtent l="0" t="0" r="0" b="0"/>
                      <wp:wrapNone/>
                      <wp:docPr id="51" name="矩形 51"/>
                      <wp:cNvGraphicFramePr/>
                      <a:graphic xmlns:a="http://schemas.openxmlformats.org/drawingml/2006/main">
                        <a:graphicData uri="http://schemas.microsoft.com/office/word/2010/wordprocessingShape">
                          <wps:wsp>
                            <wps:cNvSpPr/>
                            <wps:spPr>
                              <a:xfrm>
                                <a:off x="0" y="0"/>
                                <a:ext cx="49149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sz w:val="18"/>
                                      <w:szCs w:val="18"/>
                                    </w:rPr>
                                  </w:pPr>
                                  <w:r>
                                    <w:rPr>
                                      <w:rFonts w:hint="eastAsia"/>
                                      <w:sz w:val="18"/>
                                      <w:szCs w:val="18"/>
                                    </w:rPr>
                                    <w:t>2</w:t>
                                  </w:r>
                                  <w:r>
                                    <w:rPr>
                                      <w:sz w:val="18"/>
                                      <w:szCs w:val="18"/>
                                    </w:rPr>
                                    <w:t>00m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8pt;margin-top:376.95pt;height:22.5pt;width:38.7pt;z-index:251662336;v-text-anchor:middle;mso-width-relative:page;mso-height-relative:page;" filled="f" stroked="f" coordsize="21600,21600" o:gfxdata="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nTms7YAAAACgEAAA8A&#10;AAAAAAAAAQAgAAAAIgAAAGRycy9kb3ducmV2LnhtbFBLAQIUABQAAAAIAIdO4kAapFTuUAIAAJcE&#10;AAAOAAAAAAAAAAEAIAAAACcBAABkcnMvZTJvRG9jLnhtbFBLBQYAAAAABgAGAFkBAADpBQAAAAA=&#10;">
                      <v:fill on="f" focussize="0,0"/>
                      <v:stroke on="f" weight="2pt"/>
                      <v:imagedata o:title=""/>
                      <o:lock v:ext="edit" aspectratio="f"/>
                      <v:textbox>
                        <w:txbxContent>
                          <w:p>
                            <w:pPr>
                              <w:jc w:val="center"/>
                              <w:rPr>
                                <w:sz w:val="18"/>
                                <w:szCs w:val="18"/>
                              </w:rPr>
                            </w:pPr>
                            <w:r>
                              <w:rPr>
                                <w:rFonts w:hint="eastAsia"/>
                                <w:sz w:val="18"/>
                                <w:szCs w:val="18"/>
                              </w:rPr>
                              <w:t>2</w:t>
                            </w:r>
                            <w:r>
                              <w:rPr>
                                <w:sz w:val="18"/>
                                <w:szCs w:val="18"/>
                              </w:rPr>
                              <w:t>00m</w:t>
                            </w:r>
                          </w:p>
                        </w:txbxContent>
                      </v:textbox>
                    </v:rect>
                  </w:pict>
                </mc:Fallback>
              </mc:AlternateContent>
            </w:r>
          </w:p>
          <w:p>
            <w:pPr>
              <w:pStyle w:val="109"/>
              <w:numPr>
                <w:ilvl w:val="0"/>
                <w:numId w:val="0"/>
              </w:numPr>
              <w:ind w:leftChars="0"/>
              <w:jc w:val="center"/>
              <w:rPr>
                <w:rFonts w:hint="default" w:ascii="Times New Roman" w:hAnsi="Times New Roman" w:eastAsia="宋体" w:cs="Times New Roman"/>
                <w:b/>
                <w:bCs/>
                <w:snapToGrid/>
                <w:color w:val="auto"/>
                <w:kern w:val="0"/>
                <w:sz w:val="21"/>
                <w:szCs w:val="21"/>
                <w:highlight w:val="none"/>
                <w:lang w:val="en-US" w:eastAsia="zh-CN" w:bidi="ar-SA"/>
              </w:rPr>
            </w:pPr>
            <w:r>
              <w:rPr>
                <w:rFonts w:hint="eastAsia" w:ascii="Times New Roman" w:hAnsi="Times New Roman" w:eastAsia="宋体" w:cs="Times New Roman"/>
                <w:b/>
                <w:bCs/>
                <w:snapToGrid/>
                <w:color w:val="auto"/>
                <w:kern w:val="0"/>
                <w:sz w:val="21"/>
                <w:szCs w:val="21"/>
                <w:highlight w:val="none"/>
                <w:lang w:val="en-US" w:eastAsia="zh-CN" w:bidi="ar-SA"/>
              </w:rPr>
              <w:t>表3-2</w:t>
            </w:r>
            <w:r>
              <w:rPr>
                <w:rFonts w:hint="default" w:ascii="Times New Roman" w:hAnsi="Times New Roman" w:eastAsia="宋体" w:cs="Times New Roman"/>
                <w:b/>
                <w:bCs/>
                <w:snapToGrid/>
                <w:color w:val="auto"/>
                <w:kern w:val="0"/>
                <w:sz w:val="21"/>
                <w:szCs w:val="21"/>
                <w:highlight w:val="none"/>
                <w:lang w:val="en-US" w:eastAsia="zh-CN" w:bidi="ar-SA"/>
              </w:rPr>
              <w:t>其他污染物环境质量现状监测结果表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41"/>
              <w:gridCol w:w="1527"/>
              <w:gridCol w:w="1753"/>
              <w:gridCol w:w="970"/>
              <w:gridCol w:w="1446"/>
              <w:gridCol w:w="1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6" w:hRule="atLeast"/>
                <w:jc w:val="center"/>
              </w:trPr>
              <w:tc>
                <w:tcPr>
                  <w:tcW w:w="1592" w:type="pct"/>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采样时间</w:t>
                  </w:r>
                </w:p>
              </w:tc>
              <w:tc>
                <w:tcPr>
                  <w:tcW w:w="1046"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检测项目</w:t>
                  </w:r>
                </w:p>
              </w:tc>
              <w:tc>
                <w:tcPr>
                  <w:tcW w:w="579"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单位</w:t>
                  </w: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监测结果</w:t>
                  </w:r>
                </w:p>
              </w:tc>
              <w:tc>
                <w:tcPr>
                  <w:tcW w:w="92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kern w:val="0"/>
                      <w:sz w:val="21"/>
                      <w:szCs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2021年10月9日</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第一频次</w:t>
                  </w:r>
                </w:p>
              </w:tc>
              <w:tc>
                <w:tcPr>
                  <w:tcW w:w="104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非甲烷总烃</w:t>
                  </w:r>
                </w:p>
              </w:tc>
              <w:tc>
                <w:tcPr>
                  <w:tcW w:w="57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mg/m</w:t>
                  </w:r>
                  <w:r>
                    <w:rPr>
                      <w:rFonts w:eastAsiaTheme="minorEastAsia"/>
                      <w:color w:val="auto"/>
                      <w:sz w:val="21"/>
                      <w:szCs w:val="21"/>
                      <w:highlight w:val="none"/>
                      <w:vertAlign w:val="superscript"/>
                    </w:rPr>
                    <w:t>3</w:t>
                  </w: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0.48</w:t>
                  </w:r>
                </w:p>
              </w:tc>
              <w:tc>
                <w:tcPr>
                  <w:tcW w:w="92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参照执行国家环境保护局科技标准司的《大气污染物综合排放标准详解》推荐值2.0mg/m³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第二频次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0.57</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第三频次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0.41</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第四频次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0.89</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2021年10月10日</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第一频次</w:t>
                  </w:r>
                </w:p>
              </w:tc>
              <w:tc>
                <w:tcPr>
                  <w:tcW w:w="104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非甲烷总烃</w:t>
                  </w:r>
                </w:p>
              </w:tc>
              <w:tc>
                <w:tcPr>
                  <w:tcW w:w="57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mg/m</w:t>
                  </w:r>
                  <w:r>
                    <w:rPr>
                      <w:rFonts w:eastAsiaTheme="minorEastAsia"/>
                      <w:color w:val="auto"/>
                      <w:sz w:val="21"/>
                      <w:szCs w:val="21"/>
                      <w:highlight w:val="none"/>
                      <w:vertAlign w:val="superscript"/>
                    </w:rPr>
                    <w:t>3</w:t>
                  </w: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0.65</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第二频次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0.81</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第三频次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0.25</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第四频次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0.73</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2021年10月11日</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第一频次</w:t>
                  </w:r>
                </w:p>
              </w:tc>
              <w:tc>
                <w:tcPr>
                  <w:tcW w:w="104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非甲烷总烃</w:t>
                  </w:r>
                </w:p>
              </w:tc>
              <w:tc>
                <w:tcPr>
                  <w:tcW w:w="57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mg/m</w:t>
                  </w:r>
                  <w:r>
                    <w:rPr>
                      <w:rFonts w:eastAsiaTheme="minorEastAsia"/>
                      <w:color w:val="auto"/>
                      <w:sz w:val="21"/>
                      <w:szCs w:val="21"/>
                      <w:highlight w:val="none"/>
                      <w:vertAlign w:val="superscript"/>
                    </w:rPr>
                    <w:t>3</w:t>
                  </w: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0.69</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第二频次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1.19</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6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第三频次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0.83</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第四频次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0.39</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2021年10月12日</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第一频次</w:t>
                  </w:r>
                </w:p>
              </w:tc>
              <w:tc>
                <w:tcPr>
                  <w:tcW w:w="104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非甲烷总烃</w:t>
                  </w:r>
                </w:p>
              </w:tc>
              <w:tc>
                <w:tcPr>
                  <w:tcW w:w="57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mg/m</w:t>
                  </w:r>
                  <w:r>
                    <w:rPr>
                      <w:rFonts w:eastAsiaTheme="minorEastAsia"/>
                      <w:color w:val="auto"/>
                      <w:sz w:val="21"/>
                      <w:szCs w:val="21"/>
                      <w:highlight w:val="none"/>
                      <w:vertAlign w:val="superscript"/>
                    </w:rPr>
                    <w:t>3</w:t>
                  </w: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0.33</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8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第二频次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0.23</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第三频次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0.47</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第四频次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0.86</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68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kern w:val="0"/>
                      <w:sz w:val="21"/>
                      <w:szCs w:val="21"/>
                      <w:highlight w:val="none"/>
                    </w:rPr>
                    <w:t>2021年10月13日</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第一频次</w:t>
                  </w:r>
                </w:p>
              </w:tc>
              <w:tc>
                <w:tcPr>
                  <w:tcW w:w="104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非甲烷总烃</w:t>
                  </w:r>
                </w:p>
              </w:tc>
              <w:tc>
                <w:tcPr>
                  <w:tcW w:w="57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mg/m</w:t>
                  </w:r>
                  <w:r>
                    <w:rPr>
                      <w:rFonts w:eastAsiaTheme="minorEastAsia"/>
                      <w:color w:val="auto"/>
                      <w:sz w:val="21"/>
                      <w:szCs w:val="21"/>
                      <w:highlight w:val="none"/>
                      <w:vertAlign w:val="superscript"/>
                    </w:rPr>
                    <w:t>3</w:t>
                  </w: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0.88</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第二频次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0.20</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第三频次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0.98</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第四频次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0.65</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kern w:val="0"/>
                      <w:sz w:val="21"/>
                      <w:szCs w:val="21"/>
                      <w:highlight w:val="none"/>
                    </w:rPr>
                  </w:pPr>
                  <w:r>
                    <w:rPr>
                      <w:rFonts w:eastAsiaTheme="minorEastAsia"/>
                      <w:color w:val="auto"/>
                      <w:kern w:val="0"/>
                      <w:sz w:val="21"/>
                      <w:szCs w:val="21"/>
                      <w:highlight w:val="none"/>
                    </w:rPr>
                    <w:t>2021年10月14日</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第一频次</w:t>
                  </w:r>
                </w:p>
              </w:tc>
              <w:tc>
                <w:tcPr>
                  <w:tcW w:w="104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非甲烷总烃</w:t>
                  </w:r>
                </w:p>
              </w:tc>
              <w:tc>
                <w:tcPr>
                  <w:tcW w:w="57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mg/m</w:t>
                  </w:r>
                  <w:r>
                    <w:rPr>
                      <w:rFonts w:eastAsiaTheme="minorEastAsia"/>
                      <w:color w:val="auto"/>
                      <w:sz w:val="21"/>
                      <w:szCs w:val="21"/>
                      <w:highlight w:val="none"/>
                      <w:vertAlign w:val="superscript"/>
                    </w:rPr>
                    <w:t>3</w:t>
                  </w: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0.96</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81" w:type="pct"/>
                  <w:vMerge w:val="continue"/>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第二频次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0.40</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第三频次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0.18</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6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第四频次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0.97</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81"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kern w:val="0"/>
                      <w:sz w:val="21"/>
                      <w:szCs w:val="21"/>
                      <w:highlight w:val="none"/>
                    </w:rPr>
                    <w:t>2021年10月15日</w:t>
                  </w: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第一频次</w:t>
                  </w:r>
                </w:p>
              </w:tc>
              <w:tc>
                <w:tcPr>
                  <w:tcW w:w="1046"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非甲烷总烃</w:t>
                  </w:r>
                </w:p>
              </w:tc>
              <w:tc>
                <w:tcPr>
                  <w:tcW w:w="579" w:type="pct"/>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mg/m</w:t>
                  </w:r>
                  <w:r>
                    <w:rPr>
                      <w:rFonts w:eastAsiaTheme="minorEastAsia"/>
                      <w:color w:val="auto"/>
                      <w:sz w:val="21"/>
                      <w:szCs w:val="21"/>
                      <w:highlight w:val="none"/>
                      <w:vertAlign w:val="superscript"/>
                    </w:rPr>
                    <w:t>3</w:t>
                  </w: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0.60</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第二频次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1.31</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第三频次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0.13</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8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911"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第四频次</w:t>
                  </w:r>
                </w:p>
              </w:tc>
              <w:tc>
                <w:tcPr>
                  <w:tcW w:w="1046"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579"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c>
                <w:tcPr>
                  <w:tcW w:w="863" w:type="pc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r>
                    <w:rPr>
                      <w:rFonts w:eastAsiaTheme="minorEastAsia"/>
                      <w:color w:val="auto"/>
                      <w:sz w:val="21"/>
                      <w:szCs w:val="21"/>
                      <w:highlight w:val="none"/>
                    </w:rPr>
                    <w:t>0.31</w:t>
                  </w:r>
                </w:p>
              </w:tc>
              <w:tc>
                <w:tcPr>
                  <w:tcW w:w="921" w:type="pct"/>
                  <w:vMerge w:val="continue"/>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eastAsiaTheme="minorEastAsia"/>
                      <w:color w:val="auto"/>
                      <w:sz w:val="21"/>
                      <w:szCs w:val="21"/>
                      <w:highlight w:val="none"/>
                    </w:rPr>
                  </w:pPr>
                </w:p>
              </w:tc>
            </w:tr>
          </w:tbl>
          <w:p>
            <w:pPr>
              <w:pStyle w:val="108"/>
              <w:jc w:val="center"/>
              <w:rPr>
                <w:rFonts w:eastAsiaTheme="minorEastAsia"/>
                <w:color w:val="auto"/>
                <w:highlight w:val="none"/>
                <w:lang w:val="en-GB"/>
              </w:rPr>
            </w:pPr>
            <w:r>
              <w:rPr>
                <w:rFonts w:eastAsiaTheme="minorEastAsia"/>
                <w:color w:val="auto"/>
                <w:highlight w:val="none"/>
                <w:lang w:val="en-GB"/>
              </w:rPr>
              <w:t>由监测结果可知，本项目监测因子非甲烷总烃满足《大气污染物综合排</w:t>
            </w:r>
          </w:p>
          <w:p>
            <w:pPr>
              <w:pStyle w:val="108"/>
              <w:ind w:left="0" w:leftChars="0" w:firstLine="0" w:firstLineChars="0"/>
              <w:jc w:val="both"/>
              <w:rPr>
                <w:rFonts w:eastAsiaTheme="minorEastAsia"/>
                <w:color w:val="auto"/>
                <w:highlight w:val="none"/>
                <w:lang w:val="en-GB"/>
              </w:rPr>
            </w:pPr>
            <w:r>
              <w:rPr>
                <w:rFonts w:eastAsiaTheme="minorEastAsia"/>
                <w:color w:val="auto"/>
                <w:highlight w:val="none"/>
                <w:lang w:val="en-GB"/>
              </w:rPr>
              <w:t>放标准详解》中标准限值</w:t>
            </w:r>
            <w:r>
              <w:rPr>
                <w:rFonts w:eastAsiaTheme="minorEastAsia"/>
                <w:color w:val="auto"/>
                <w:highlight w:val="none"/>
              </w:rPr>
              <w:t>2.0mg/m</w:t>
            </w:r>
            <w:r>
              <w:rPr>
                <w:rFonts w:eastAsiaTheme="minorEastAsia"/>
                <w:color w:val="auto"/>
                <w:highlight w:val="none"/>
                <w:vertAlign w:val="superscript"/>
              </w:rPr>
              <w:t>3</w:t>
            </w:r>
            <w:r>
              <w:rPr>
                <w:rFonts w:eastAsiaTheme="minorEastAsia"/>
                <w:color w:val="auto"/>
                <w:highlight w:val="none"/>
                <w:lang w:val="en-GB"/>
              </w:rPr>
              <w:t>。</w:t>
            </w:r>
          </w:p>
          <w:p>
            <w:pPr>
              <w:pStyle w:val="108"/>
              <w:ind w:left="0" w:leftChars="0" w:firstLine="0" w:firstLineChars="0"/>
              <w:jc w:val="both"/>
              <w:rPr>
                <w:rFonts w:eastAsiaTheme="minorEastAsia"/>
                <w:color w:val="auto"/>
                <w:highlight w:val="none"/>
                <w:lang w:val="en-GB"/>
              </w:rPr>
            </w:pPr>
          </w:p>
          <w:p>
            <w:pPr>
              <w:pStyle w:val="108"/>
              <w:ind w:left="0" w:leftChars="0" w:firstLine="0" w:firstLineChars="0"/>
              <w:jc w:val="both"/>
              <w:rPr>
                <w:rFonts w:eastAsiaTheme="minorEastAsia"/>
                <w:color w:val="auto"/>
                <w:highlight w:val="none"/>
                <w:lang w:val="en-GB"/>
              </w:rPr>
            </w:pPr>
          </w:p>
          <w:p>
            <w:pPr>
              <w:pStyle w:val="108"/>
              <w:ind w:left="0" w:leftChars="0" w:firstLine="0" w:firstLineChars="0"/>
              <w:jc w:val="both"/>
              <w:rPr>
                <w:rFonts w:eastAsiaTheme="minorEastAsia"/>
                <w:color w:val="auto"/>
                <w:highlight w:val="none"/>
                <w:lang w:val="en-GB"/>
              </w:rPr>
            </w:pPr>
          </w:p>
          <w:p>
            <w:pPr>
              <w:pStyle w:val="108"/>
              <w:ind w:left="0" w:leftChars="0" w:firstLine="0" w:firstLineChars="0"/>
              <w:jc w:val="both"/>
              <w:rPr>
                <w:rFonts w:eastAsiaTheme="minorEastAsia"/>
                <w:color w:val="auto"/>
                <w:highlight w:val="none"/>
                <w:lang w:val="en-GB"/>
              </w:rPr>
            </w:pPr>
          </w:p>
          <w:p>
            <w:pPr>
              <w:pStyle w:val="108"/>
              <w:ind w:left="0" w:leftChars="0" w:firstLine="0" w:firstLineChars="0"/>
              <w:jc w:val="both"/>
              <w:rPr>
                <w:rFonts w:eastAsiaTheme="minorEastAsia"/>
                <w:color w:val="auto"/>
                <w:highlight w:val="none"/>
                <w:lang w:val="en-GB"/>
              </w:rPr>
            </w:pPr>
          </w:p>
          <w:p>
            <w:pPr>
              <w:pStyle w:val="108"/>
              <w:ind w:left="0" w:leftChars="0" w:firstLine="0" w:firstLineChars="0"/>
              <w:jc w:val="both"/>
              <w:rPr>
                <w:rFonts w:eastAsiaTheme="minorEastAsia"/>
                <w:color w:val="auto"/>
                <w:highlight w:val="none"/>
                <w:lang w:val="en-GB"/>
              </w:rPr>
            </w:pPr>
          </w:p>
          <w:p>
            <w:pPr>
              <w:pStyle w:val="108"/>
              <w:ind w:left="0" w:leftChars="0" w:firstLine="0" w:firstLineChars="0"/>
              <w:jc w:val="both"/>
              <w:rPr>
                <w:rFonts w:eastAsiaTheme="minorEastAsia"/>
                <w:color w:val="auto"/>
                <w:highlight w:val="none"/>
                <w:lang w:val="en-GB"/>
              </w:rPr>
            </w:pPr>
          </w:p>
          <w:p>
            <w:pPr>
              <w:pStyle w:val="108"/>
              <w:ind w:left="0" w:leftChars="0" w:firstLine="0" w:firstLineChars="0"/>
              <w:jc w:val="center"/>
              <w:rPr>
                <w:rFonts w:eastAsiaTheme="minorEastAsia"/>
                <w:b/>
                <w:color w:val="auto"/>
                <w:highlight w:val="none"/>
                <w:lang w:val="en-GB"/>
              </w:rPr>
            </w:pPr>
            <w:r>
              <w:rPr>
                <w:rFonts w:eastAsiaTheme="minorEastAsia"/>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2182495</wp:posOffset>
                      </wp:positionH>
                      <wp:positionV relativeFrom="paragraph">
                        <wp:posOffset>1118235</wp:posOffset>
                      </wp:positionV>
                      <wp:extent cx="665480" cy="277495"/>
                      <wp:effectExtent l="0" t="0" r="0" b="0"/>
                      <wp:wrapNone/>
                      <wp:docPr id="9" name="文本框 9"/>
                      <wp:cNvGraphicFramePr/>
                      <a:graphic xmlns:a="http://schemas.openxmlformats.org/drawingml/2006/main">
                        <a:graphicData uri="http://schemas.microsoft.com/office/word/2010/wordprocessingShape">
                          <wps:wsp>
                            <wps:cNvSpPr txBox="1"/>
                            <wps:spPr>
                              <a:xfrm>
                                <a:off x="0" y="0"/>
                                <a:ext cx="665683" cy="27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color w:val="FFFF00"/>
                                    </w:rPr>
                                  </w:pPr>
                                  <w:r>
                                    <w:rPr>
                                      <w:rFonts w:hint="eastAsia"/>
                                      <w:b/>
                                      <w:color w:val="FFFF00"/>
                                    </w:rPr>
                                    <w:t>1.</w:t>
                                  </w:r>
                                  <w:r>
                                    <w:rPr>
                                      <w:rFonts w:hint="eastAsia"/>
                                      <w:b/>
                                      <w:color w:val="FFFF00"/>
                                      <w:lang w:val="en-US" w:eastAsia="zh-CN"/>
                                    </w:rPr>
                                    <w:t>1</w:t>
                                  </w:r>
                                  <w:r>
                                    <w:rPr>
                                      <w:b/>
                                      <w:color w:val="FFFF00"/>
                                    </w:rPr>
                                    <w:t>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85pt;margin-top:88.05pt;height:21.85pt;width:52.4pt;z-index:251667456;mso-width-relative:page;mso-height-relative:page;" filled="f" stroked="f" coordsize="21600,21600" o:gfxdata="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PgQGv3AAAAAsBAAAPAAAAAAAAAAEAIAAA&#10;ACIAAABkcnMvZG93bnJldi54bWxQSwECFAAUAAAACACHTuJAdkgboEECAABzBAAADgAAAAAAAAAB&#10;ACAAAAArAQAAZHJzL2Uyb0RvYy54bWxQSwUGAAAAAAYABgBZAQAA3gUAAAAA&#10;">
                      <v:fill on="f" focussize="0,0"/>
                      <v:stroke on="f" weight="0.5pt"/>
                      <v:imagedata o:title=""/>
                      <o:lock v:ext="edit" aspectratio="f"/>
                      <v:textbox>
                        <w:txbxContent>
                          <w:p>
                            <w:pPr>
                              <w:rPr>
                                <w:b/>
                                <w:color w:val="FFFF00"/>
                              </w:rPr>
                            </w:pPr>
                            <w:r>
                              <w:rPr>
                                <w:rFonts w:hint="eastAsia"/>
                                <w:b/>
                                <w:color w:val="FFFF00"/>
                              </w:rPr>
                              <w:t>1.</w:t>
                            </w:r>
                            <w:r>
                              <w:rPr>
                                <w:rFonts w:hint="eastAsia"/>
                                <w:b/>
                                <w:color w:val="FFFF00"/>
                                <w:lang w:val="en-US" w:eastAsia="zh-CN"/>
                              </w:rPr>
                              <w:t>1</w:t>
                            </w:r>
                            <w:r>
                              <w:rPr>
                                <w:b/>
                                <w:color w:val="FFFF00"/>
                              </w:rPr>
                              <w:t>km</w:t>
                            </w:r>
                          </w:p>
                        </w:txbxContent>
                      </v:textbox>
                    </v:shape>
                  </w:pict>
                </mc:Fallback>
              </mc:AlternateContent>
            </w:r>
            <w:r>
              <w:rPr>
                <w:color w:val="auto"/>
                <w:sz w:val="24"/>
                <w:highlight w:val="none"/>
              </w:rPr>
              <mc:AlternateContent>
                <mc:Choice Requires="wps">
                  <w:drawing>
                    <wp:anchor distT="0" distB="0" distL="114300" distR="114300" simplePos="0" relativeHeight="251668480" behindDoc="0" locked="0" layoutInCell="1" allowOverlap="1">
                      <wp:simplePos x="0" y="0"/>
                      <wp:positionH relativeFrom="column">
                        <wp:posOffset>1398905</wp:posOffset>
                      </wp:positionH>
                      <wp:positionV relativeFrom="paragraph">
                        <wp:posOffset>265430</wp:posOffset>
                      </wp:positionV>
                      <wp:extent cx="198120" cy="167640"/>
                      <wp:effectExtent l="12700" t="12700" r="17780" b="17780"/>
                      <wp:wrapNone/>
                      <wp:docPr id="25" name="五角星 25"/>
                      <wp:cNvGraphicFramePr/>
                      <a:graphic xmlns:a="http://schemas.openxmlformats.org/drawingml/2006/main">
                        <a:graphicData uri="http://schemas.microsoft.com/office/word/2010/wordprocessingShape">
                          <wps:wsp>
                            <wps:cNvSpPr/>
                            <wps:spPr>
                              <a:xfrm>
                                <a:off x="3011170" y="2464435"/>
                                <a:ext cx="198120" cy="167640"/>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0.15pt;margin-top:20.9pt;height:13.2pt;width:15.6pt;z-index:251668480;v-text-anchor:middle;mso-width-relative:page;mso-height-relative:page;" fillcolor="#FF0000" filled="t" stroked="t" coordsize="198120,167640" o:gfxdata="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JXob32AAAAAkBAAAPAAAAAAAAAAEAIAAAACIAAABkcnMv&#10;ZG93bnJldi54bWxQSwECFAAUAAAACACHTuJAcdWeknUCAADuBAAADgAAAAAAAAABACAAAAAnAQAA&#10;ZHJzL2Uyb0RvYy54bWxQSwUGAAAAAAYABgBZAQAADgYAAAAA&#10;" path="m0,64032l75675,64033,99060,0,122444,64033,198119,64032,136896,103606,160282,167639,99060,128064,37837,167639,61223,103606xe">
                      <v:path o:connectlocs="99060,0;0,64032;37837,167639;160282,167639;198119,64032" o:connectangles="247,164,82,82,0"/>
                      <v:fill on="t" focussize="0,0"/>
                      <v:stroke weight="2pt" color="#FF0000 [2404]" joinstyle="round"/>
                      <v:imagedata o:title=""/>
                      <o:lock v:ext="edit" aspectratio="f"/>
                    </v:shape>
                  </w:pict>
                </mc:Fallback>
              </mc:AlternateContent>
            </w:r>
            <w:r>
              <w:rPr>
                <w:rFonts w:eastAsiaTheme="minorEastAsia"/>
                <w:color w:val="auto"/>
                <w:highlight w:val="none"/>
              </w:rPr>
              <w:drawing>
                <wp:inline distT="0" distB="0" distL="0" distR="0">
                  <wp:extent cx="4853940" cy="3415665"/>
                  <wp:effectExtent l="0" t="0" r="7620" b="133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6"/>
                          <a:stretch>
                            <a:fillRect/>
                          </a:stretch>
                        </pic:blipFill>
                        <pic:spPr>
                          <a:xfrm>
                            <a:off x="0" y="0"/>
                            <a:ext cx="4868769" cy="3426579"/>
                          </a:xfrm>
                          <a:prstGeom prst="rect">
                            <a:avLst/>
                          </a:prstGeom>
                        </pic:spPr>
                      </pic:pic>
                    </a:graphicData>
                  </a:graphic>
                </wp:inline>
              </w:drawing>
            </w:r>
            <w:r>
              <w:rPr>
                <w:rFonts w:eastAsiaTheme="minorEastAsia"/>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468630</wp:posOffset>
                      </wp:positionH>
                      <wp:positionV relativeFrom="paragraph">
                        <wp:posOffset>480695</wp:posOffset>
                      </wp:positionV>
                      <wp:extent cx="1005205" cy="285115"/>
                      <wp:effectExtent l="0" t="0" r="635" b="4445"/>
                      <wp:wrapNone/>
                      <wp:docPr id="1" name="文本框 1"/>
                      <wp:cNvGraphicFramePr/>
                      <a:graphic xmlns:a="http://schemas.openxmlformats.org/drawingml/2006/main">
                        <a:graphicData uri="http://schemas.microsoft.com/office/word/2010/wordprocessingShape">
                          <wps:wsp>
                            <wps:cNvSpPr txBox="1"/>
                            <wps:spPr>
                              <a:xfrm>
                                <a:off x="0" y="0"/>
                                <a:ext cx="1005205" cy="2852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本项目</w:t>
                                  </w:r>
                                  <w:r>
                                    <w:rPr>
                                      <w:b/>
                                      <w:color w:val="000000" w:themeColor="text1"/>
                                      <w14:textFill>
                                        <w14:solidFill>
                                          <w14:schemeClr w14:val="tx1"/>
                                        </w14:solidFill>
                                      </w14:textFill>
                                    </w:rPr>
                                    <w:t>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9pt;margin-top:37.85pt;height:22.45pt;width:79.15pt;z-index:251666432;mso-width-relative:page;mso-height-relative:page;" fillcolor="#FFFFFF [3212]" filled="t" stroked="f" coordsize="21600,21600" o:gfxdata="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hzwC51QAAAAkBAAAP&#10;AAAAAAAAAAEAIAAAACIAAABkcnMvZG93bnJldi54bWxQSwECFAAUAAAACACHTuJAJ9o/O1QCAACd&#10;BAAADgAAAAAAAAABACAAAAAkAQAAZHJzL2Uyb0RvYy54bWxQSwUGAAAAAAYABgBZAQAA6gUAAAAA&#10;">
                      <v:fill on="t" focussize="0,0"/>
                      <v:stroke on="f" weight="0.5pt"/>
                      <v:imagedata o:title=""/>
                      <o:lock v:ext="edit" aspectratio="f"/>
                      <v:textbox>
                        <w:txbxContent>
                          <w:p>
                            <w:pPr>
                              <w:rPr>
                                <w:b/>
                                <w:color w:val="000000" w:themeColor="text1"/>
                                <w14:textFill>
                                  <w14:solidFill>
                                    <w14:schemeClr w14:val="tx1"/>
                                  </w14:solidFill>
                                </w14:textFill>
                              </w:rPr>
                            </w:pPr>
                            <w:r>
                              <w:rPr>
                                <w:rFonts w:hint="eastAsia"/>
                                <w:b/>
                                <w:color w:val="000000" w:themeColor="text1"/>
                                <w14:textFill>
                                  <w14:solidFill>
                                    <w14:schemeClr w14:val="tx1"/>
                                  </w14:solidFill>
                                </w14:textFill>
                              </w:rPr>
                              <w:t>本项目</w:t>
                            </w:r>
                            <w:r>
                              <w:rPr>
                                <w:b/>
                                <w:color w:val="000000" w:themeColor="text1"/>
                                <w14:textFill>
                                  <w14:solidFill>
                                    <w14:schemeClr w14:val="tx1"/>
                                  </w14:solidFill>
                                </w14:textFill>
                              </w:rPr>
                              <w:t>位置</w:t>
                            </w:r>
                          </w:p>
                        </w:txbxContent>
                      </v:textbox>
                    </v:shape>
                  </w:pict>
                </mc:Fallback>
              </mc:AlternateContent>
            </w:r>
            <w:r>
              <w:rPr>
                <w:rFonts w:eastAsiaTheme="minorEastAsia"/>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2821940</wp:posOffset>
                      </wp:positionH>
                      <wp:positionV relativeFrom="paragraph">
                        <wp:posOffset>2324100</wp:posOffset>
                      </wp:positionV>
                      <wp:extent cx="819150" cy="343535"/>
                      <wp:effectExtent l="0" t="0" r="0" b="0"/>
                      <wp:wrapNone/>
                      <wp:docPr id="3" name="文本框 3"/>
                      <wp:cNvGraphicFramePr/>
                      <a:graphic xmlns:a="http://schemas.openxmlformats.org/drawingml/2006/main">
                        <a:graphicData uri="http://schemas.microsoft.com/office/word/2010/wordprocessingShape">
                          <wps:wsp>
                            <wps:cNvSpPr txBox="1"/>
                            <wps:spPr>
                              <a:xfrm>
                                <a:off x="0" y="0"/>
                                <a:ext cx="819150" cy="343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b/>
                                      <w:color w:val="FFFF00"/>
                                    </w:rPr>
                                  </w:pPr>
                                  <w:r>
                                    <w:rPr>
                                      <w:rFonts w:hint="eastAsia"/>
                                      <w:b/>
                                      <w:color w:val="FFFF00"/>
                                    </w:rPr>
                                    <w:t>监测</w:t>
                                  </w:r>
                                  <w:r>
                                    <w:rPr>
                                      <w:b/>
                                      <w:color w:val="FFFF00"/>
                                    </w:rPr>
                                    <w:t>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2pt;margin-top:183pt;height:27.05pt;width:64.5pt;z-index:251665408;mso-width-relative:page;mso-height-relative:page;" filled="f" stroked="f" coordsize="21600,21600" o:gfxdata="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LSmdTaAAAACwEAAA8AAAAAAAAAAQAgAAAAIgAA&#10;AGRycy9kb3ducmV2LnhtbFBLAQIUABQAAAAIAIdO4kBPKTHmPwIAAHMEAAAOAAAAAAAAAAEAIAAA&#10;ACkBAABkcnMvZTJvRG9jLnhtbFBLBQYAAAAABgAGAFkBAADaBQAAAAA=&#10;">
                      <v:fill on="f" focussize="0,0"/>
                      <v:stroke on="f" weight="0.5pt"/>
                      <v:imagedata o:title=""/>
                      <o:lock v:ext="edit" aspectratio="f"/>
                      <v:textbox>
                        <w:txbxContent>
                          <w:p>
                            <w:pPr>
                              <w:rPr>
                                <w:b/>
                                <w:color w:val="FFFF00"/>
                              </w:rPr>
                            </w:pPr>
                            <w:r>
                              <w:rPr>
                                <w:rFonts w:hint="eastAsia"/>
                                <w:b/>
                                <w:color w:val="FFFF00"/>
                              </w:rPr>
                              <w:t>监测</w:t>
                            </w:r>
                            <w:r>
                              <w:rPr>
                                <w:b/>
                                <w:color w:val="FFFF00"/>
                              </w:rPr>
                              <w:t>点位</w:t>
                            </w:r>
                          </w:p>
                        </w:txbxContent>
                      </v:textbox>
                    </v:shape>
                  </w:pict>
                </mc:Fallback>
              </mc:AlternateContent>
            </w:r>
            <w:r>
              <w:rPr>
                <w:rFonts w:eastAsiaTheme="minorEastAsia"/>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3080385</wp:posOffset>
                      </wp:positionH>
                      <wp:positionV relativeFrom="paragraph">
                        <wp:posOffset>2211070</wp:posOffset>
                      </wp:positionV>
                      <wp:extent cx="131445" cy="116840"/>
                      <wp:effectExtent l="6350" t="6350" r="14605" b="13970"/>
                      <wp:wrapNone/>
                      <wp:docPr id="12" name="流程图: 联系 12"/>
                      <wp:cNvGraphicFramePr/>
                      <a:graphic xmlns:a="http://schemas.openxmlformats.org/drawingml/2006/main">
                        <a:graphicData uri="http://schemas.microsoft.com/office/word/2010/wordprocessingShape">
                          <wps:wsp>
                            <wps:cNvSpPr/>
                            <wps:spPr>
                              <a:xfrm>
                                <a:off x="0" y="0"/>
                                <a:ext cx="131445" cy="116840"/>
                              </a:xfrm>
                              <a:prstGeom prst="flowChartConnector">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42.55pt;margin-top:174.1pt;height:9.2pt;width:10.35pt;z-index:251664384;v-text-anchor:middle;mso-width-relative:page;mso-height-relative:page;" filled="f" stroked="t" coordsize="21600,21600" o:gfxdata="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4dVdf2wAAAAsBAAAPAAAAAAAAAAEAIAAAACIA&#10;AABkcnMvZG93bnJldi54bWxQSwECFAAUAAAACACHTuJAqzE89HgCAADOBAAADgAAAAAAAAABACAA&#10;AAAqAQAAZHJzL2Uyb0RvYy54bWxQSwUGAAAAAAYABgBZAQAAFAYAAAAA&#10;">
                      <v:fill on="f" focussize="0,0"/>
                      <v:stroke weight="1pt" color="#FF0000 [3204]" joinstyle="round"/>
                      <v:imagedata o:title=""/>
                      <o:lock v:ext="edit" aspectratio="f"/>
                    </v:shape>
                  </w:pict>
                </mc:Fallback>
              </mc:AlternateContent>
            </w:r>
            <w:r>
              <w:rPr>
                <w:rFonts w:eastAsiaTheme="minorEastAsia"/>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1528445</wp:posOffset>
                      </wp:positionH>
                      <wp:positionV relativeFrom="paragraph">
                        <wp:posOffset>433070</wp:posOffset>
                      </wp:positionV>
                      <wp:extent cx="1516380" cy="1790065"/>
                      <wp:effectExtent l="5080" t="3810" r="2540" b="4445"/>
                      <wp:wrapNone/>
                      <wp:docPr id="21" name="直接箭头连接符 21"/>
                      <wp:cNvGraphicFramePr/>
                      <a:graphic xmlns:a="http://schemas.openxmlformats.org/drawingml/2006/main">
                        <a:graphicData uri="http://schemas.microsoft.com/office/word/2010/wordprocessingShape">
                          <wps:wsp>
                            <wps:cNvCnPr/>
                            <wps:spPr>
                              <a:xfrm>
                                <a:off x="0" y="0"/>
                                <a:ext cx="1516380" cy="179006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0.35pt;margin-top:34.1pt;height:140.95pt;width:119.4pt;z-index:251663360;mso-width-relative:page;mso-height-relative:page;" filled="f" stroked="t" coordsize="21600,21600" o:gfxdata="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hrY8toAAAAKAQAADwAAAAAAAAABACAAAAAiAAAAZHJz&#10;L2Rvd25yZXYueG1sUEsBAhQAFAAAAAgAh07iQPr9mrwCAgAA0wMAAA4AAAAAAAAAAQAgAAAAKQEA&#10;AGRycy9lMm9Eb2MueG1sUEsFBgAAAAAGAAYAWQEAAJ0FAAAAAA==&#10;">
                      <v:fill on="f" focussize="0,0"/>
                      <v:stroke weight="1pt" color="#FF0000 [3204]" joinstyle="round" endarrow="block"/>
                      <v:imagedata o:title=""/>
                      <o:lock v:ext="edit" aspectratio="f"/>
                    </v:shape>
                  </w:pict>
                </mc:Fallback>
              </mc:AlternateContent>
            </w:r>
          </w:p>
          <w:p>
            <w:pPr>
              <w:pStyle w:val="112"/>
              <w:numPr>
                <w:ilvl w:val="0"/>
                <w:numId w:val="0"/>
              </w:numPr>
              <w:ind w:leftChars="0"/>
              <w:jc w:val="center"/>
              <w:rPr>
                <w:rFonts w:hint="default" w:ascii="Times New Roman" w:hAnsi="Times New Roman" w:cs="Times New Roman"/>
                <w:b/>
                <w:bCs/>
                <w:color w:val="auto"/>
                <w:sz w:val="21"/>
                <w:szCs w:val="18"/>
                <w:highlight w:val="none"/>
              </w:rPr>
            </w:pPr>
            <w:r>
              <w:rPr>
                <w:rFonts w:hint="eastAsia" w:eastAsiaTheme="minorEastAsia"/>
                <w:b/>
                <w:bCs/>
                <w:color w:val="auto"/>
                <w:sz w:val="21"/>
                <w:szCs w:val="18"/>
                <w:highlight w:val="none"/>
                <w:lang w:val="en-US" w:eastAsia="zh-CN"/>
              </w:rPr>
              <w:t>图3-1</w:t>
            </w:r>
            <w:r>
              <w:rPr>
                <w:rFonts w:eastAsiaTheme="minorEastAsia"/>
                <w:b/>
                <w:bCs/>
                <w:color w:val="auto"/>
                <w:sz w:val="21"/>
                <w:szCs w:val="18"/>
                <w:highlight w:val="none"/>
              </w:rPr>
              <w:t>本项目与非甲烷总烃监测点相对位置图</w:t>
            </w:r>
          </w:p>
          <w:p>
            <w:pPr>
              <w:adjustRightInd w:val="0"/>
              <w:spacing w:line="360" w:lineRule="auto"/>
              <w:ind w:firstLine="482" w:firstLineChars="200"/>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3.声环境质量调查</w:t>
            </w:r>
          </w:p>
          <w:p>
            <w:pPr>
              <w:adjustRightInd w:val="0"/>
              <w:snapToGrid w:val="0"/>
              <w:spacing w:line="360" w:lineRule="auto"/>
              <w:ind w:firstLine="480" w:firstLineChars="200"/>
              <w:rPr>
                <w:rFonts w:hint="eastAsia" w:cs="Times New Roman"/>
                <w:color w:val="auto"/>
                <w:highlight w:val="none"/>
                <w:lang w:val="en-US" w:eastAsia="zh-CN"/>
              </w:rPr>
            </w:pPr>
            <w:r>
              <w:rPr>
                <w:rFonts w:hint="default" w:ascii="Times New Roman" w:hAnsi="Times New Roman" w:cs="Times New Roman"/>
                <w:color w:val="auto"/>
                <w:highlight w:val="none"/>
              </w:rPr>
              <w:t>本项目位于</w:t>
            </w:r>
            <w:r>
              <w:rPr>
                <w:rFonts w:hint="eastAsia" w:cs="Times New Roman"/>
                <w:color w:val="auto"/>
                <w:highlight w:val="none"/>
                <w:lang w:eastAsia="zh-CN"/>
              </w:rPr>
              <w:t>天津市滨海新区大港海洋石化科技园区迎宾街623#</w:t>
            </w:r>
            <w:r>
              <w:rPr>
                <w:rFonts w:hint="default" w:ascii="Times New Roman" w:hAnsi="Times New Roman" w:cs="Times New Roman"/>
                <w:color w:val="auto"/>
                <w:highlight w:val="none"/>
              </w:rPr>
              <w:t>，建设项目厂界50m范围内声环境保护目标为</w:t>
            </w:r>
            <w:r>
              <w:rPr>
                <w:rFonts w:hint="eastAsia" w:cs="Times New Roman"/>
                <w:color w:val="auto"/>
                <w:highlight w:val="none"/>
                <w:lang w:val="en-US" w:eastAsia="zh-CN"/>
              </w:rPr>
              <w:t>南</w:t>
            </w:r>
            <w:r>
              <w:rPr>
                <w:rFonts w:hint="default" w:ascii="Times New Roman" w:hAnsi="Times New Roman" w:cs="Times New Roman"/>
                <w:color w:val="auto"/>
                <w:highlight w:val="none"/>
              </w:rPr>
              <w:t>侧</w:t>
            </w:r>
            <w:r>
              <w:rPr>
                <w:rFonts w:hint="eastAsia" w:cs="Times New Roman"/>
                <w:color w:val="auto"/>
                <w:highlight w:val="none"/>
                <w:lang w:val="en-US" w:eastAsia="zh-CN"/>
              </w:rPr>
              <w:t>紧邻</w:t>
            </w:r>
            <w:r>
              <w:rPr>
                <w:rFonts w:hint="default" w:ascii="Times New Roman" w:hAnsi="Times New Roman" w:cs="Times New Roman"/>
                <w:color w:val="auto"/>
                <w:highlight w:val="none"/>
              </w:rPr>
              <w:t>的</w:t>
            </w:r>
            <w:r>
              <w:rPr>
                <w:rFonts w:hint="eastAsia" w:cs="Times New Roman"/>
                <w:color w:val="auto"/>
                <w:highlight w:val="none"/>
                <w:lang w:val="en-US" w:eastAsia="zh-CN"/>
              </w:rPr>
              <w:t>天津大港科技园区管委会</w:t>
            </w:r>
            <w:r>
              <w:rPr>
                <w:rFonts w:hint="default" w:ascii="Times New Roman" w:hAnsi="Times New Roman" w:cs="Times New Roman"/>
                <w:color w:val="auto"/>
                <w:highlight w:val="none"/>
              </w:rPr>
              <w:t>。</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根据建设项目环境影响报告表编制技术指南（污染影响类）（试行）相关要求，厂界外周边50米范围内存在声环境保护目标的建设项目，应监测保护目标声环境质量现状并评价达标情况。</w:t>
            </w:r>
          </w:p>
          <w:p>
            <w:pPr>
              <w:pStyle w:val="39"/>
              <w:rPr>
                <w:rFonts w:hint="default" w:ascii="Times New Roman" w:hAnsi="Times New Roman" w:cs="Times New Roman"/>
                <w:color w:val="auto"/>
                <w:highlight w:val="none"/>
              </w:rPr>
            </w:pPr>
          </w:p>
          <w:p>
            <w:pPr>
              <w:pStyle w:val="39"/>
              <w:rPr>
                <w:rFonts w:hint="default" w:ascii="Times New Roman" w:hAnsi="Times New Roman" w:cs="Times New Roman"/>
                <w:color w:val="auto"/>
                <w:highlight w:val="none"/>
              </w:rPr>
            </w:pPr>
          </w:p>
          <w:p>
            <w:pPr>
              <w:pStyle w:val="39"/>
              <w:rPr>
                <w:rFonts w:hint="default" w:ascii="Times New Roman" w:hAnsi="Times New Roman" w:cs="Times New Roman"/>
                <w:color w:val="auto"/>
                <w:highlight w:val="none"/>
              </w:rPr>
            </w:pPr>
          </w:p>
          <w:p>
            <w:pPr>
              <w:pStyle w:val="39"/>
              <w:rPr>
                <w:rFonts w:hint="default" w:ascii="Times New Roman" w:hAnsi="Times New Roman" w:cs="Times New Roman"/>
                <w:color w:val="auto"/>
                <w:highlight w:val="none"/>
              </w:rPr>
            </w:pPr>
          </w:p>
          <w:p>
            <w:pPr>
              <w:pStyle w:val="39"/>
              <w:rPr>
                <w:rFonts w:hint="default" w:ascii="Times New Roman" w:hAnsi="Times New Roman" w:cs="Times New Roman"/>
                <w:color w:val="auto"/>
                <w:highlight w:val="none"/>
              </w:rPr>
            </w:pPr>
          </w:p>
          <w:p>
            <w:pPr>
              <w:pStyle w:val="39"/>
              <w:rPr>
                <w:rFonts w:hint="default" w:ascii="Times New Roman" w:hAnsi="Times New Roman" w:cs="Times New Roman"/>
                <w:color w:val="auto"/>
                <w:highlight w:val="none"/>
              </w:rPr>
            </w:pPr>
          </w:p>
          <w:p>
            <w:pPr>
              <w:pStyle w:val="39"/>
              <w:rPr>
                <w:rFonts w:hint="default" w:ascii="Times New Roman" w:hAnsi="Times New Roman" w:cs="Times New Roman"/>
                <w:color w:val="auto"/>
                <w:highlight w:val="none"/>
              </w:rPr>
            </w:pPr>
          </w:p>
          <w:p>
            <w:pPr>
              <w:pStyle w:val="39"/>
              <w:rPr>
                <w:rFonts w:hint="default" w:ascii="Times New Roman" w:hAnsi="Times New Roman" w:cs="Times New Roman"/>
                <w:color w:val="auto"/>
                <w:highlight w:val="none"/>
              </w:rPr>
            </w:pPr>
          </w:p>
          <w:p>
            <w:pPr>
              <w:pStyle w:val="39"/>
              <w:rPr>
                <w:rFonts w:hint="default" w:ascii="Times New Roman" w:hAnsi="Times New Roman" w:cs="Times New Roman"/>
                <w:color w:val="auto"/>
                <w:highlight w:val="none"/>
              </w:rPr>
            </w:pPr>
          </w:p>
          <w:p>
            <w:pPr>
              <w:pStyle w:val="39"/>
              <w:rPr>
                <w:rFonts w:hint="default" w:ascii="Times New Roman" w:hAnsi="Times New Roman" w:cs="Times New Roman"/>
                <w:color w:val="auto"/>
                <w:highlight w:val="none"/>
              </w:rPr>
            </w:pPr>
          </w:p>
          <w:p>
            <w:pPr>
              <w:pStyle w:val="39"/>
              <w:rPr>
                <w:rFonts w:hint="default" w:ascii="Times New Roman" w:hAnsi="Times New Roman" w:cs="Times New Roman"/>
                <w:color w:val="auto"/>
                <w:highlight w:val="none"/>
              </w:rPr>
            </w:pPr>
          </w:p>
          <w:p>
            <w:pPr>
              <w:adjustRightInd w:val="0"/>
              <w:snapToGrid w:val="0"/>
              <w:spacing w:line="360" w:lineRule="auto"/>
              <w:rPr>
                <w:rFonts w:hint="default" w:ascii="Times New Roman" w:hAnsi="Times New Roman" w:cs="Times New Roman"/>
                <w:color w:val="auto"/>
                <w:highlight w:val="none"/>
              </w:rPr>
            </w:pPr>
          </w:p>
          <w:p>
            <w:pPr>
              <w:pStyle w:val="28"/>
              <w:keepNext w:val="0"/>
              <w:keepLines w:val="0"/>
              <w:pageBreakBefore w:val="0"/>
              <w:widowControl w:val="0"/>
              <w:kinsoku/>
              <w:wordWrap/>
              <w:overflowPunct/>
              <w:topLinePunct w:val="0"/>
              <w:autoSpaceDE/>
              <w:autoSpaceDN/>
              <w:bidi w:val="0"/>
              <w:adjustRightInd w:val="0"/>
              <w:snapToGrid w:val="0"/>
              <w:spacing w:after="0"/>
              <w:ind w:left="0" w:leftChars="0" w:firstLine="0"/>
              <w:jc w:val="both"/>
              <w:textAlignment w:val="baseline"/>
              <w:rPr>
                <w:rFonts w:hint="eastAsia" w:ascii="Times New Roman" w:hAnsi="Times New Roman" w:eastAsia="宋体" w:cs="Times New Roman"/>
                <w:b/>
                <w:bCs/>
                <w:color w:val="auto"/>
                <w:w w:val="90"/>
                <w:sz w:val="24"/>
                <w:highlight w:val="none"/>
                <w:lang w:eastAsia="zh-CN"/>
              </w:rPr>
            </w:pPr>
            <w:r>
              <w:rPr>
                <w:rFonts w:hint="eastAsia" w:ascii="Times New Roman" w:hAnsi="Times New Roman" w:eastAsia="宋体" w:cs="Times New Roman"/>
                <w:b/>
                <w:bCs/>
                <w:color w:val="auto"/>
                <w:w w:val="90"/>
                <w:sz w:val="24"/>
                <w:highlight w:val="none"/>
                <w:lang w:eastAsia="zh-CN"/>
              </w:rPr>
              <w:drawing>
                <wp:inline distT="0" distB="0" distL="114300" distR="114300">
                  <wp:extent cx="5265420" cy="3710940"/>
                  <wp:effectExtent l="0" t="0" r="7620" b="7620"/>
                  <wp:docPr id="26" name="图片 26" descr="170148258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1482586875"/>
                          <pic:cNvPicPr>
                            <a:picLocks noChangeAspect="1"/>
                          </pic:cNvPicPr>
                        </pic:nvPicPr>
                        <pic:blipFill>
                          <a:blip r:embed="rId17"/>
                          <a:stretch>
                            <a:fillRect/>
                          </a:stretch>
                        </pic:blipFill>
                        <pic:spPr>
                          <a:xfrm>
                            <a:off x="0" y="0"/>
                            <a:ext cx="5265420" cy="3710940"/>
                          </a:xfrm>
                          <a:prstGeom prst="rect">
                            <a:avLst/>
                          </a:prstGeom>
                        </pic:spPr>
                      </pic:pic>
                    </a:graphicData>
                  </a:graphic>
                </wp:inline>
              </w:drawing>
            </w:r>
          </w:p>
          <w:p>
            <w:pPr>
              <w:pStyle w:val="28"/>
              <w:ind w:left="0" w:leftChars="0" w:firstLine="0"/>
              <w:jc w:val="center"/>
              <w:rPr>
                <w:rFonts w:hint="default" w:ascii="Times New Roman" w:hAnsi="Times New Roman" w:cs="Times New Roman"/>
                <w:color w:val="auto"/>
                <w:sz w:val="22"/>
                <w:szCs w:val="16"/>
                <w:highlight w:val="none"/>
              </w:rPr>
            </w:pPr>
            <w:r>
              <w:rPr>
                <w:rFonts w:hint="default" w:ascii="Times New Roman" w:hAnsi="Times New Roman" w:cs="Times New Roman"/>
                <w:b/>
                <w:bCs/>
                <w:color w:val="auto"/>
                <w:w w:val="90"/>
                <w:sz w:val="21"/>
                <w:szCs w:val="16"/>
                <w:highlight w:val="none"/>
              </w:rPr>
              <w:t>图3-</w:t>
            </w:r>
            <w:r>
              <w:rPr>
                <w:rFonts w:hint="eastAsia" w:ascii="Times New Roman" w:hAnsi="Times New Roman" w:cs="Times New Roman"/>
                <w:b/>
                <w:bCs/>
                <w:color w:val="auto"/>
                <w:w w:val="90"/>
                <w:sz w:val="21"/>
                <w:szCs w:val="16"/>
                <w:highlight w:val="none"/>
                <w:lang w:val="en-US" w:eastAsia="zh-CN"/>
              </w:rPr>
              <w:t>2</w:t>
            </w:r>
            <w:r>
              <w:rPr>
                <w:rFonts w:hint="default" w:ascii="Times New Roman" w:hAnsi="Times New Roman" w:cs="Times New Roman"/>
                <w:b/>
                <w:bCs/>
                <w:color w:val="auto"/>
                <w:w w:val="90"/>
                <w:sz w:val="21"/>
                <w:szCs w:val="16"/>
                <w:highlight w:val="none"/>
              </w:rPr>
              <w:t xml:space="preserve">  环保目标噪声监测点位图</w:t>
            </w:r>
          </w:p>
          <w:p>
            <w:pPr>
              <w:pStyle w:val="25"/>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噪声现状监测布点选取依据：本项目50m范围内敏感目标为</w:t>
            </w:r>
            <w:r>
              <w:rPr>
                <w:rFonts w:hint="eastAsia" w:cs="Times New Roman"/>
                <w:color w:val="auto"/>
                <w:highlight w:val="none"/>
                <w:lang w:val="en-US" w:eastAsia="zh-CN"/>
              </w:rPr>
              <w:t>天津大港科技园区管委会，</w:t>
            </w:r>
            <w:r>
              <w:rPr>
                <w:rFonts w:hint="eastAsia" w:ascii="Times New Roman" w:hAnsi="Times New Roman" w:cs="Times New Roman"/>
                <w:color w:val="auto"/>
                <w:szCs w:val="24"/>
                <w:highlight w:val="none"/>
                <w:lang w:val="en-US" w:eastAsia="zh-CN"/>
              </w:rPr>
              <w:t>层数为3层</w:t>
            </w:r>
            <w:r>
              <w:rPr>
                <w:rFonts w:hint="default" w:ascii="Times New Roman" w:hAnsi="Times New Roman" w:cs="Times New Roman"/>
                <w:color w:val="auto"/>
                <w:szCs w:val="24"/>
                <w:highlight w:val="none"/>
              </w:rPr>
              <w:t>，因此</w:t>
            </w:r>
            <w:r>
              <w:rPr>
                <w:rFonts w:hint="default" w:ascii="Times New Roman" w:hAnsi="Times New Roman" w:cs="Times New Roman"/>
                <w:color w:val="auto"/>
                <w:szCs w:val="24"/>
                <w:highlight w:val="none"/>
              </w:rPr>
              <w:t>建设单位委托天津市圣奥环境监测中心于2023年</w:t>
            </w:r>
            <w:r>
              <w:rPr>
                <w:rFonts w:hint="eastAsia" w:ascii="Times New Roman" w:hAnsi="Times New Roman" w:cs="Times New Roman"/>
                <w:color w:val="auto"/>
                <w:szCs w:val="24"/>
                <w:highlight w:val="none"/>
                <w:lang w:val="en-US" w:eastAsia="zh-CN"/>
              </w:rPr>
              <w:t>12</w:t>
            </w:r>
            <w:r>
              <w:rPr>
                <w:rFonts w:hint="default" w:ascii="Times New Roman" w:hAnsi="Times New Roman" w:cs="Times New Roman"/>
                <w:color w:val="auto"/>
                <w:szCs w:val="24"/>
                <w:highlight w:val="none"/>
              </w:rPr>
              <w:t>月</w:t>
            </w:r>
            <w:r>
              <w:rPr>
                <w:rFonts w:hint="eastAsia" w:ascii="Times New Roman" w:hAnsi="Times New Roman" w:cs="Times New Roman"/>
                <w:color w:val="auto"/>
                <w:szCs w:val="24"/>
                <w:highlight w:val="none"/>
                <w:lang w:val="en-US" w:eastAsia="zh-CN"/>
              </w:rPr>
              <w:t>7</w:t>
            </w:r>
            <w:r>
              <w:rPr>
                <w:rFonts w:hint="default" w:ascii="Times New Roman" w:hAnsi="Times New Roman" w:cs="Times New Roman"/>
                <w:color w:val="auto"/>
                <w:szCs w:val="24"/>
                <w:highlight w:val="none"/>
              </w:rPr>
              <w:t>日对天津大港科技园区管委会进行声环境现状监测。环保目标现状监测点位具有代表性，监测结果见下表。</w:t>
            </w:r>
          </w:p>
          <w:p>
            <w:pPr>
              <w:adjustRightInd w:val="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eastAsia"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 xml:space="preserve"> 厂界四周噪声监测值</w:t>
            </w:r>
          </w:p>
          <w:tbl>
            <w:tblPr>
              <w:tblStyle w:val="29"/>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1784"/>
              <w:gridCol w:w="1237"/>
              <w:gridCol w:w="1331"/>
              <w:gridCol w:w="1115"/>
              <w:gridCol w:w="730"/>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5" w:hRule="exact"/>
                <w:jc w:val="center"/>
              </w:trPr>
              <w:tc>
                <w:tcPr>
                  <w:tcW w:w="749"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检测日期</w:t>
                  </w:r>
                </w:p>
              </w:tc>
              <w:tc>
                <w:tcPr>
                  <w:tcW w:w="1095"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测点位置</w:t>
                  </w:r>
                </w:p>
              </w:tc>
              <w:tc>
                <w:tcPr>
                  <w:tcW w:w="1576" w:type="pct"/>
                  <w:gridSpan w:val="2"/>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监测结果[dB(A)]</w:t>
                  </w:r>
                </w:p>
              </w:tc>
              <w:tc>
                <w:tcPr>
                  <w:tcW w:w="1132" w:type="pct"/>
                  <w:gridSpan w:val="2"/>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标准限值</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[dB(A)]</w:t>
                  </w:r>
                </w:p>
              </w:tc>
              <w:tc>
                <w:tcPr>
                  <w:tcW w:w="445"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49"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p>
              </w:tc>
              <w:tc>
                <w:tcPr>
                  <w:tcW w:w="1095"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p>
              </w:tc>
              <w:tc>
                <w:tcPr>
                  <w:tcW w:w="759"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817"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c>
                <w:tcPr>
                  <w:tcW w:w="684"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w:t>
                  </w:r>
                </w:p>
              </w:tc>
              <w:tc>
                <w:tcPr>
                  <w:tcW w:w="448"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w:t>
                  </w:r>
                </w:p>
              </w:tc>
              <w:tc>
                <w:tcPr>
                  <w:tcW w:w="445"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exact"/>
                <w:jc w:val="center"/>
              </w:trPr>
              <w:tc>
                <w:tcPr>
                  <w:tcW w:w="749"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2023年</w:t>
                  </w:r>
                  <w:r>
                    <w:rPr>
                      <w:rFonts w:hint="eastAsia"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日</w:t>
                  </w:r>
                </w:p>
              </w:tc>
              <w:tc>
                <w:tcPr>
                  <w:tcW w:w="1095"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天津大港科技园区管委会1层</w:t>
                  </w:r>
                </w:p>
              </w:tc>
              <w:tc>
                <w:tcPr>
                  <w:tcW w:w="75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81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44</w:t>
                  </w:r>
                </w:p>
              </w:tc>
              <w:tc>
                <w:tcPr>
                  <w:tcW w:w="684"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448"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445"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exact"/>
                <w:jc w:val="center"/>
              </w:trPr>
              <w:tc>
                <w:tcPr>
                  <w:tcW w:w="749"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p>
              </w:tc>
              <w:tc>
                <w:tcPr>
                  <w:tcW w:w="1095"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天津大港科技园区管委会</w:t>
                  </w:r>
                  <w:r>
                    <w:rPr>
                      <w:rFonts w:hint="default"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rPr>
                    <w:t>层</w:t>
                  </w:r>
                </w:p>
              </w:tc>
              <w:tc>
                <w:tcPr>
                  <w:tcW w:w="75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51</w:t>
                  </w:r>
                </w:p>
              </w:tc>
              <w:tc>
                <w:tcPr>
                  <w:tcW w:w="81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684"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color w:val="auto"/>
                      <w:sz w:val="21"/>
                      <w:szCs w:val="21"/>
                      <w:highlight w:val="none"/>
                      <w:lang w:val="en-US" w:eastAsia="zh-CN"/>
                    </w:rPr>
                  </w:pPr>
                </w:p>
              </w:tc>
              <w:tc>
                <w:tcPr>
                  <w:tcW w:w="448"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color w:val="auto"/>
                      <w:sz w:val="21"/>
                      <w:szCs w:val="21"/>
                      <w:highlight w:val="none"/>
                      <w:lang w:val="en-US" w:eastAsia="zh-CN"/>
                    </w:rPr>
                  </w:pPr>
                </w:p>
              </w:tc>
              <w:tc>
                <w:tcPr>
                  <w:tcW w:w="445"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exact"/>
                <w:jc w:val="center"/>
              </w:trPr>
              <w:tc>
                <w:tcPr>
                  <w:tcW w:w="749"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p>
              </w:tc>
              <w:tc>
                <w:tcPr>
                  <w:tcW w:w="1095"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天津大港科技园区管委会</w:t>
                  </w:r>
                  <w:r>
                    <w:rPr>
                      <w:rFonts w:hint="default" w:ascii="Times New Roman" w:hAnsi="Times New Roman" w:cs="Times New Roman"/>
                      <w:color w:val="auto"/>
                      <w:sz w:val="21"/>
                      <w:szCs w:val="21"/>
                      <w:highlight w:val="none"/>
                    </w:rPr>
                    <w:t>3</w:t>
                  </w:r>
                  <w:r>
                    <w:rPr>
                      <w:rFonts w:hint="eastAsia" w:ascii="Times New Roman" w:hAnsi="Times New Roman" w:cs="Times New Roman"/>
                      <w:color w:val="auto"/>
                      <w:sz w:val="21"/>
                      <w:szCs w:val="21"/>
                      <w:highlight w:val="none"/>
                    </w:rPr>
                    <w:t>层</w:t>
                  </w:r>
                </w:p>
              </w:tc>
              <w:tc>
                <w:tcPr>
                  <w:tcW w:w="759"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817" w:type="pct"/>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684"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color w:val="auto"/>
                      <w:sz w:val="21"/>
                      <w:szCs w:val="21"/>
                      <w:highlight w:val="none"/>
                      <w:lang w:val="en-US" w:eastAsia="zh-CN"/>
                    </w:rPr>
                  </w:pPr>
                </w:p>
              </w:tc>
              <w:tc>
                <w:tcPr>
                  <w:tcW w:w="448"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rPr>
                      <w:rFonts w:hint="eastAsia" w:cs="Times New Roman"/>
                      <w:color w:val="auto"/>
                      <w:sz w:val="21"/>
                      <w:szCs w:val="21"/>
                      <w:highlight w:val="none"/>
                      <w:lang w:val="en-US" w:eastAsia="zh-CN"/>
                    </w:rPr>
                  </w:pPr>
                </w:p>
              </w:tc>
              <w:tc>
                <w:tcPr>
                  <w:tcW w:w="445" w:type="pct"/>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pPr>
              <w:pStyle w:val="15"/>
              <w:spacing w:line="360" w:lineRule="auto"/>
              <w:rPr>
                <w:rFonts w:hint="default"/>
                <w:color w:val="auto"/>
                <w:highlight w:val="none"/>
              </w:rPr>
            </w:pPr>
            <w:r>
              <w:rPr>
                <w:rFonts w:hint="default" w:ascii="Times New Roman" w:hAnsi="Times New Roman" w:cs="Times New Roman"/>
                <w:color w:val="auto"/>
                <w:highlight w:val="none"/>
              </w:rPr>
              <w:t>由监测结果可知，本项目噪声敏感点</w:t>
            </w:r>
            <w:r>
              <w:rPr>
                <w:rFonts w:hint="eastAsia" w:cs="Times New Roman"/>
                <w:color w:val="auto"/>
                <w:highlight w:val="none"/>
                <w:lang w:val="en-US" w:eastAsia="zh-CN"/>
              </w:rPr>
              <w:t>天津大港科技园区管委会</w:t>
            </w:r>
            <w:r>
              <w:rPr>
                <w:rFonts w:hint="default" w:ascii="Times New Roman" w:hAnsi="Times New Roman" w:cs="Times New Roman"/>
                <w:color w:val="auto"/>
                <w:highlight w:val="none"/>
              </w:rPr>
              <w:t>（</w:t>
            </w:r>
            <w:r>
              <w:rPr>
                <w:rFonts w:hint="eastAsia" w:cs="Times New Roman"/>
                <w:color w:val="auto"/>
                <w:highlight w:val="none"/>
                <w:lang w:val="en-US" w:eastAsia="zh-CN"/>
              </w:rPr>
              <w:t>声评价范围</w:t>
            </w:r>
            <w:r>
              <w:rPr>
                <w:rFonts w:hint="default" w:ascii="Times New Roman" w:hAnsi="Times New Roman" w:cs="Times New Roman"/>
                <w:color w:val="auto"/>
                <w:highlight w:val="none"/>
              </w:rPr>
              <w:t>内的区域</w:t>
            </w:r>
            <w:r>
              <w:rPr>
                <w:rFonts w:hint="default" w:ascii="Times New Roman" w:hAnsi="Times New Roman" w:cs="Times New Roman"/>
                <w:color w:val="auto"/>
                <w:highlight w:val="none"/>
              </w:rPr>
              <w:t>）昼</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夜间监测值满足《声环境质量标准》（GB3096-2008）</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类标准限值要求。</w:t>
            </w:r>
          </w:p>
          <w:p>
            <w:pPr>
              <w:adjustRightInd w:val="0"/>
              <w:spacing w:line="360" w:lineRule="auto"/>
              <w:ind w:firstLine="482" w:firstLineChars="200"/>
              <w:textAlignment w:val="baseline"/>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4.地下水、土壤环境质量调查</w:t>
            </w:r>
          </w:p>
          <w:p>
            <w:pPr>
              <w:adjustRightInd w:val="0"/>
              <w:spacing w:line="360" w:lineRule="auto"/>
              <w:ind w:firstLine="480" w:firstLineChars="200"/>
              <w:jc w:val="left"/>
              <w:textAlignment w:val="baseline"/>
              <w:rPr>
                <w:rFonts w:hint="default" w:ascii="Times New Roman" w:hAnsi="Times New Roman" w:cs="Times New Roman"/>
                <w:color w:val="auto"/>
                <w:highlight w:val="none"/>
              </w:rPr>
            </w:pPr>
            <w:r>
              <w:rPr>
                <w:color w:val="auto"/>
                <w:sz w:val="24"/>
                <w:highlight w:val="none"/>
              </w:rPr>
              <w:t>根据《建设项目环境影响报告表编制技术指南》（污染影响类）要求：地下水、土壤环境原则上不开展环境质量现状调查。建设项目存在土壤、地下水环境污染途径的，应结合污染源、保护目标分布情况开展现状调查以留作背景值。本项目</w:t>
            </w:r>
            <w:r>
              <w:rPr>
                <w:rFonts w:hint="eastAsia"/>
                <w:color w:val="auto"/>
                <w:sz w:val="24"/>
                <w:highlight w:val="none"/>
                <w:lang w:val="en-US" w:eastAsia="zh-CN"/>
              </w:rPr>
              <w:t>机油、切削液、漆料等均</w:t>
            </w:r>
            <w:r>
              <w:rPr>
                <w:color w:val="auto"/>
                <w:sz w:val="24"/>
                <w:highlight w:val="none"/>
              </w:rPr>
              <w:t>为密闭桶装，</w:t>
            </w:r>
            <w:r>
              <w:rPr>
                <w:rFonts w:hint="eastAsia"/>
                <w:color w:val="auto"/>
                <w:sz w:val="24"/>
                <w:highlight w:val="none"/>
                <w:lang w:val="en-US" w:eastAsia="zh-CN"/>
              </w:rPr>
              <w:t>包装桶下方设置防渗漏托盘，</w:t>
            </w:r>
            <w:r>
              <w:rPr>
                <w:color w:val="auto"/>
                <w:sz w:val="24"/>
                <w:highlight w:val="none"/>
              </w:rPr>
              <w:t>且地面刷防渗漆</w:t>
            </w:r>
            <w:r>
              <w:rPr>
                <w:rFonts w:hint="eastAsia"/>
                <w:color w:val="auto"/>
                <w:sz w:val="24"/>
                <w:highlight w:val="none"/>
                <w:lang w:val="en-US" w:eastAsia="zh-CN"/>
              </w:rPr>
              <w:t>，</w:t>
            </w:r>
            <w:r>
              <w:rPr>
                <w:rFonts w:hint="eastAsia"/>
                <w:color w:val="auto"/>
                <w:sz w:val="24"/>
                <w:highlight w:val="none"/>
              </w:rPr>
              <w:t>废油</w:t>
            </w:r>
            <w:r>
              <w:rPr>
                <w:rFonts w:hint="eastAsia"/>
                <w:color w:val="auto"/>
                <w:sz w:val="24"/>
                <w:highlight w:val="none"/>
                <w:lang w:eastAsia="zh-CN"/>
              </w:rPr>
              <w:t>、</w:t>
            </w:r>
            <w:r>
              <w:rPr>
                <w:rFonts w:hint="eastAsia"/>
                <w:color w:val="auto"/>
                <w:sz w:val="24"/>
                <w:highlight w:val="none"/>
                <w:lang w:val="en-US" w:eastAsia="zh-CN"/>
              </w:rPr>
              <w:t>废切削液等</w:t>
            </w:r>
            <w:r>
              <w:rPr>
                <w:color w:val="auto"/>
                <w:sz w:val="24"/>
                <w:highlight w:val="none"/>
              </w:rPr>
              <w:t>作为危险废物转移至危废间内，密闭桶装，下设铁托盘，且地面刷防渗漆，不存在土壤、地下水环境污染途径</w:t>
            </w:r>
            <w:r>
              <w:rPr>
                <w:rFonts w:hint="eastAsia"/>
                <w:color w:val="auto"/>
                <w:sz w:val="24"/>
                <w:highlight w:val="none"/>
                <w:lang w:eastAsia="zh-CN"/>
              </w:rPr>
              <w:t>。</w:t>
            </w:r>
            <w:r>
              <w:rPr>
                <w:rFonts w:hint="default" w:ascii="Times New Roman" w:hAnsi="Times New Roman" w:cs="Times New Roman"/>
                <w:color w:val="auto"/>
                <w:highlight w:val="none"/>
              </w:rPr>
              <w:t>本项目喷漆间水帘柜位于地上，水帘柜下方和危废间均做防渗涂层，水帘柜材质为不锈钢，水帘柜安装不锈钢防渗托盘，水帘柜不与地面直接接触，如发生泄漏能够及时被发现，不会下渗或流出车间，无污染途径</w:t>
            </w:r>
            <w:r>
              <w:rPr>
                <w:rFonts w:hint="eastAsia" w:cs="Times New Roman"/>
                <w:color w:val="auto"/>
                <w:highlight w:val="none"/>
                <w:lang w:eastAsia="zh-CN"/>
              </w:rPr>
              <w:t>。</w:t>
            </w:r>
            <w:r>
              <w:rPr>
                <w:rFonts w:hint="eastAsia" w:cs="Times New Roman"/>
                <w:color w:val="auto"/>
                <w:highlight w:val="none"/>
                <w:lang w:val="en-US" w:eastAsia="zh-CN"/>
              </w:rPr>
              <w:t>综上，本项目</w:t>
            </w:r>
            <w:r>
              <w:rPr>
                <w:rFonts w:hint="default" w:ascii="Times New Roman" w:hAnsi="Times New Roman" w:cs="Times New Roman"/>
                <w:color w:val="auto"/>
                <w:highlight w:val="none"/>
              </w:rPr>
              <w:t>不需要对地下水、土壤进行现状环境质量调查。</w:t>
            </w:r>
          </w:p>
          <w:p>
            <w:pPr>
              <w:adjustRightInd w:val="0"/>
              <w:spacing w:line="360" w:lineRule="auto"/>
              <w:ind w:firstLine="480" w:firstLineChars="200"/>
              <w:jc w:val="left"/>
              <w:textAlignment w:val="baseline"/>
              <w:rPr>
                <w:rFonts w:hint="default" w:ascii="Times New Roman" w:hAnsi="Times New Roman" w:cs="Times New Roman"/>
                <w:color w:val="auto"/>
                <w:highlight w:val="none"/>
              </w:rPr>
            </w:pPr>
          </w:p>
          <w:p>
            <w:pPr>
              <w:pStyle w:val="16"/>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8"/>
              <w:ind w:left="480"/>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8"/>
              <w:ind w:left="480"/>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8"/>
              <w:ind w:left="480"/>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8"/>
              <w:ind w:left="480"/>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8"/>
              <w:ind w:left="480"/>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8"/>
              <w:ind w:left="480"/>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28"/>
              <w:ind w:left="0" w:leftChars="0" w:firstLine="0" w:firstLineChars="0"/>
              <w:rPr>
                <w:rFonts w:hint="eastAsia" w:ascii="Times New Roman" w:hAnsi="Times New Roman" w:eastAsia="宋体" w:cs="Times New Roman"/>
                <w:color w:val="auto"/>
                <w:highlight w:val="none"/>
                <w:lang w:eastAsia="zh-CN"/>
              </w:rPr>
            </w:pPr>
          </w:p>
          <w:p>
            <w:pP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环境</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保护</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目标</w:t>
            </w:r>
          </w:p>
        </w:tc>
        <w:tc>
          <w:tcPr>
            <w:tcW w:w="8605" w:type="dxa"/>
          </w:tcPr>
          <w:p>
            <w:pPr>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1、生态环境</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eastAsia" w:cs="Times New Roman"/>
                <w:color w:val="auto"/>
                <w:highlight w:val="none"/>
                <w:lang w:eastAsia="zh-CN"/>
              </w:rPr>
              <w:t>天津市滨海新区大港海洋石化科技园区迎宾街623#</w:t>
            </w:r>
            <w:r>
              <w:rPr>
                <w:rFonts w:hint="default" w:ascii="Times New Roman" w:hAnsi="Times New Roman" w:cs="Times New Roman"/>
                <w:color w:val="auto"/>
                <w:kern w:val="2"/>
                <w:szCs w:val="24"/>
                <w:highlight w:val="none"/>
              </w:rPr>
              <w:t>，</w:t>
            </w:r>
            <w:r>
              <w:rPr>
                <w:rFonts w:hint="default" w:ascii="Times New Roman" w:hAnsi="Times New Roman" w:cs="Times New Roman"/>
                <w:color w:val="auto"/>
                <w:szCs w:val="24"/>
                <w:highlight w:val="none"/>
              </w:rPr>
              <w:t>根据场地周边现状、现场勘查及建设项目的特点，项目区及其评价范围内无自然保护区、风景名胜区、文物古迹等需要特殊保护的环境敏感目标。</w:t>
            </w:r>
          </w:p>
          <w:p>
            <w:pPr>
              <w:pStyle w:val="23"/>
              <w:spacing w:line="360" w:lineRule="auto"/>
              <w:ind w:left="962" w:hanging="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2、地下水环境</w:t>
            </w:r>
          </w:p>
          <w:p>
            <w:pPr>
              <w:wordWrap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用水来自市政自来水管网。厂界外500m范围内无集中式饮用水水源地（包括已建成的在用、备用、应急水源地，在建和规划的水源地）；也不在除集中式饮用水水源地以外的国家或地方政府设定的与地下水环境相关的其它保护区，如热水、矿泉水、温泉等特殊地下水资源保护区，无地下水环境保护目标。</w:t>
            </w:r>
          </w:p>
          <w:p>
            <w:pPr>
              <w:wordWrap w:val="0"/>
              <w:spacing w:line="360" w:lineRule="auto"/>
              <w:ind w:left="480" w:left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3、大气环境</w:t>
            </w:r>
          </w:p>
          <w:p>
            <w:pPr>
              <w:pStyle w:val="23"/>
              <w:spacing w:line="360" w:lineRule="auto"/>
              <w:ind w:left="0" w:leftChars="0"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大气评价范围为厂界外500m范围内，本项目厂界外500m范围内大气环境保护目标为</w:t>
            </w:r>
            <w:r>
              <w:rPr>
                <w:rFonts w:hint="eastAsia" w:cs="Times New Roman"/>
                <w:color w:val="auto"/>
                <w:highlight w:val="none"/>
                <w:lang w:val="en-US" w:eastAsia="zh-CN"/>
              </w:rPr>
              <w:t>南</w:t>
            </w:r>
            <w:r>
              <w:rPr>
                <w:rFonts w:hint="default" w:ascii="Times New Roman" w:hAnsi="Times New Roman" w:cs="Times New Roman"/>
                <w:color w:val="auto"/>
                <w:highlight w:val="none"/>
              </w:rPr>
              <w:t>侧</w:t>
            </w:r>
            <w:r>
              <w:rPr>
                <w:rFonts w:hint="eastAsia" w:cs="Times New Roman"/>
                <w:color w:val="auto"/>
                <w:highlight w:val="none"/>
                <w:lang w:val="en-US" w:eastAsia="zh-CN"/>
              </w:rPr>
              <w:t>紧邻</w:t>
            </w:r>
            <w:r>
              <w:rPr>
                <w:rFonts w:hint="default" w:ascii="Times New Roman" w:hAnsi="Times New Roman" w:cs="Times New Roman"/>
                <w:color w:val="auto"/>
                <w:highlight w:val="none"/>
              </w:rPr>
              <w:t>的天津大港科技园区管委会。</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eastAsia"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lang w:val="en-US" w:eastAsia="zh-CN"/>
              </w:rPr>
              <w:t>大气</w:t>
            </w:r>
            <w:r>
              <w:rPr>
                <w:rFonts w:hint="default" w:ascii="Times New Roman" w:hAnsi="Times New Roman" w:cs="Times New Roman"/>
                <w:b/>
                <w:bCs/>
                <w:color w:val="auto"/>
                <w:sz w:val="21"/>
                <w:szCs w:val="21"/>
                <w:highlight w:val="none"/>
              </w:rPr>
              <w:t>环境保护目标一览表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459"/>
              <w:gridCol w:w="1139"/>
              <w:gridCol w:w="1085"/>
              <w:gridCol w:w="1201"/>
              <w:gridCol w:w="1305"/>
              <w:gridCol w:w="908"/>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469"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459"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1139"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保护对象</w:t>
                  </w:r>
                </w:p>
              </w:tc>
              <w:tc>
                <w:tcPr>
                  <w:tcW w:w="108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保护内容</w:t>
                  </w:r>
                </w:p>
              </w:tc>
              <w:tc>
                <w:tcPr>
                  <w:tcW w:w="1201"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人数</w:t>
                  </w:r>
                </w:p>
              </w:tc>
              <w:tc>
                <w:tcPr>
                  <w:tcW w:w="1305"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环境功能区</w:t>
                  </w:r>
                </w:p>
                <w:p>
                  <w:pPr>
                    <w:jc w:val="center"/>
                    <w:rPr>
                      <w:rFonts w:hint="default" w:ascii="Times New Roman" w:hAnsi="Times New Roman" w:cs="Times New Roman"/>
                      <w:color w:val="auto"/>
                      <w:sz w:val="21"/>
                      <w:szCs w:val="21"/>
                      <w:highlight w:val="none"/>
                    </w:rPr>
                  </w:pPr>
                </w:p>
              </w:tc>
              <w:tc>
                <w:tcPr>
                  <w:tcW w:w="908"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相对厂址方位</w:t>
                  </w:r>
                </w:p>
              </w:tc>
              <w:tc>
                <w:tcPr>
                  <w:tcW w:w="809" w:type="dxa"/>
                  <w:vAlign w:val="center"/>
                </w:tcPr>
                <w:p>
                  <w:pPr>
                    <w:adjustRightInd w:val="0"/>
                    <w:snapToGrid w:val="0"/>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69" w:type="dxa"/>
                  <w:vAlign w:val="center"/>
                </w:tcPr>
                <w:p>
                  <w:pPr>
                    <w:wordWrap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459" w:type="dxa"/>
                  <w:vAlign w:val="center"/>
                </w:tcPr>
                <w:p>
                  <w:pPr>
                    <w:wordWrap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天津大港科技园区管委会</w:t>
                  </w:r>
                </w:p>
              </w:tc>
              <w:tc>
                <w:tcPr>
                  <w:tcW w:w="1139" w:type="dxa"/>
                  <w:vAlign w:val="center"/>
                </w:tcPr>
                <w:p>
                  <w:pPr>
                    <w:spacing w:line="36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政府机构</w:t>
                  </w:r>
                </w:p>
              </w:tc>
              <w:tc>
                <w:tcPr>
                  <w:tcW w:w="1085" w:type="dxa"/>
                  <w:vAlign w:val="center"/>
                </w:tcPr>
                <w:p>
                  <w:pPr>
                    <w:spacing w:line="360" w:lineRule="exac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管委会办公人员</w:t>
                  </w:r>
                </w:p>
              </w:tc>
              <w:tc>
                <w:tcPr>
                  <w:tcW w:w="1201"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305"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环境空气二类功能区</w:t>
                  </w:r>
                </w:p>
              </w:tc>
              <w:tc>
                <w:tcPr>
                  <w:tcW w:w="908" w:type="dxa"/>
                  <w:vAlign w:val="center"/>
                </w:tcPr>
                <w:p>
                  <w:pPr>
                    <w:wordWrap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南</w:t>
                  </w:r>
                </w:p>
              </w:tc>
              <w:tc>
                <w:tcPr>
                  <w:tcW w:w="809" w:type="dxa"/>
                  <w:vAlign w:val="center"/>
                </w:tcPr>
                <w:p>
                  <w:pPr>
                    <w:wordWrap w:val="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紧邻</w:t>
                  </w:r>
                </w:p>
              </w:tc>
            </w:tr>
          </w:tbl>
          <w:p>
            <w:pPr>
              <w:pStyle w:val="23"/>
              <w:spacing w:line="360" w:lineRule="auto"/>
              <w:ind w:left="0" w:leftChars="0" w:firstLine="482" w:firstLineChars="20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4、声环境</w:t>
            </w:r>
          </w:p>
          <w:p>
            <w:pPr>
              <w:pStyle w:val="92"/>
              <w:ind w:firstLine="0" w:firstLineChars="0"/>
              <w:jc w:val="left"/>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 xml:space="preserve">    本项目声环境评价范围为建设项目边界向外50m范围内，本项目50m范围内声环境保护目标为天津大港科技园区管委会。</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eastAsia"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en-US" w:eastAsia="zh-CN"/>
              </w:rPr>
              <w:t>声</w:t>
            </w:r>
            <w:r>
              <w:rPr>
                <w:rFonts w:hint="default" w:ascii="Times New Roman" w:hAnsi="Times New Roman" w:cs="Times New Roman"/>
                <w:b/>
                <w:bCs/>
                <w:color w:val="auto"/>
                <w:sz w:val="21"/>
                <w:szCs w:val="21"/>
                <w:highlight w:val="none"/>
              </w:rPr>
              <w:t>环境保护目标一览表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459"/>
              <w:gridCol w:w="1139"/>
              <w:gridCol w:w="981"/>
              <w:gridCol w:w="1305"/>
              <w:gridCol w:w="1305"/>
              <w:gridCol w:w="959"/>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469" w:type="dxa"/>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459" w:type="dxa"/>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1139" w:type="dxa"/>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保护对象</w:t>
                  </w:r>
                </w:p>
              </w:tc>
              <w:tc>
                <w:tcPr>
                  <w:tcW w:w="981" w:type="dxa"/>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保护内容</w:t>
                  </w:r>
                </w:p>
              </w:tc>
              <w:tc>
                <w:tcPr>
                  <w:tcW w:w="1305" w:type="dxa"/>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人数</w:t>
                  </w:r>
                </w:p>
              </w:tc>
              <w:tc>
                <w:tcPr>
                  <w:tcW w:w="1305" w:type="dxa"/>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环境功能区</w:t>
                  </w:r>
                </w:p>
              </w:tc>
              <w:tc>
                <w:tcPr>
                  <w:tcW w:w="959" w:type="dxa"/>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相对厂址方位</w:t>
                  </w:r>
                </w:p>
              </w:tc>
              <w:tc>
                <w:tcPr>
                  <w:tcW w:w="758" w:type="dxa"/>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相对距离/m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69"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1459"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天津大港科技园区管委会</w:t>
                  </w:r>
                </w:p>
              </w:tc>
              <w:tc>
                <w:tcPr>
                  <w:tcW w:w="1139" w:type="dxa"/>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政府机构</w:t>
                  </w:r>
                </w:p>
              </w:tc>
              <w:tc>
                <w:tcPr>
                  <w:tcW w:w="981" w:type="dxa"/>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管委会办公人员</w:t>
                  </w:r>
                </w:p>
              </w:tc>
              <w:tc>
                <w:tcPr>
                  <w:tcW w:w="1305" w:type="dxa"/>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1305" w:type="dxa"/>
                  <w:vAlign w:val="center"/>
                </w:tcPr>
                <w:p>
                  <w:pPr>
                    <w:keepNext w:val="0"/>
                    <w:keepLines w:val="0"/>
                    <w:pageBreakBefore w:val="0"/>
                    <w:widowControl w:val="0"/>
                    <w:kinsoku/>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声环境</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类功能区</w:t>
                  </w:r>
                </w:p>
              </w:tc>
              <w:tc>
                <w:tcPr>
                  <w:tcW w:w="959"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南</w:t>
                  </w:r>
                </w:p>
              </w:tc>
              <w:tc>
                <w:tcPr>
                  <w:tcW w:w="758" w:type="dxa"/>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紧邻</w:t>
                  </w:r>
                </w:p>
              </w:tc>
            </w:tr>
          </w:tbl>
          <w:p>
            <w:pPr>
              <w:pStyle w:val="92"/>
              <w:ind w:firstLine="0" w:firstLineChars="0"/>
              <w:jc w:val="both"/>
              <w:rPr>
                <w:rFonts w:hint="default" w:ascii="Times New Roman" w:hAnsi="Times New Roman" w:cs="Times New Roman"/>
                <w:color w:val="auto"/>
                <w:szCs w:val="21"/>
                <w:highlight w:val="none"/>
              </w:rPr>
            </w:pPr>
          </w:p>
          <w:p>
            <w:pPr>
              <w:pStyle w:val="92"/>
              <w:ind w:firstLine="0" w:firstLineChars="0"/>
              <w:rPr>
                <w:rFonts w:hint="default" w:ascii="Times New Roman" w:hAnsi="Times New Roman" w:cs="Times New Roman"/>
                <w:color w:val="auto"/>
                <w:szCs w:val="21"/>
                <w:highlight w:val="none"/>
              </w:rPr>
            </w:pPr>
          </w:p>
          <w:p>
            <w:pPr>
              <w:pStyle w:val="92"/>
              <w:ind w:firstLine="0" w:firstLineChars="0"/>
              <w:rPr>
                <w:rFonts w:hint="default" w:ascii="Times New Roman" w:hAnsi="Times New Roman" w:cs="Times New Roman"/>
                <w:color w:val="auto"/>
                <w:szCs w:val="21"/>
                <w:highlight w:val="none"/>
              </w:rPr>
            </w:pPr>
          </w:p>
          <w:p>
            <w:pPr>
              <w:pStyle w:val="92"/>
              <w:ind w:firstLine="0" w:firstLineChars="0"/>
              <w:rPr>
                <w:rFonts w:hint="default" w:ascii="Times New Roman" w:hAnsi="Times New Roman" w:cs="Times New Roman"/>
                <w:color w:val="auto"/>
                <w:szCs w:val="21"/>
                <w:highlight w:val="none"/>
              </w:rPr>
            </w:pPr>
          </w:p>
          <w:p>
            <w:pPr>
              <w:pStyle w:val="92"/>
              <w:ind w:firstLine="0" w:firstLineChars="0"/>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物排</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放控</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制标</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准</w:t>
            </w:r>
          </w:p>
        </w:tc>
        <w:tc>
          <w:tcPr>
            <w:tcW w:w="8605" w:type="dxa"/>
          </w:tcPr>
          <w:p>
            <w:pPr>
              <w:adjustRightInd w:val="0"/>
              <w:snapToGrid w:val="0"/>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1、废气排放标准</w:t>
            </w:r>
          </w:p>
          <w:p>
            <w:pPr>
              <w:pStyle w:val="65"/>
              <w:spacing w:line="360" w:lineRule="auto"/>
              <w:ind w:firstLine="480"/>
              <w:rPr>
                <w:color w:val="auto"/>
                <w:szCs w:val="32"/>
                <w:highlight w:val="none"/>
              </w:rPr>
            </w:pPr>
            <w:r>
              <w:rPr>
                <w:rFonts w:hint="eastAsia"/>
                <w:color w:val="auto"/>
                <w:szCs w:val="24"/>
                <w:highlight w:val="none"/>
              </w:rPr>
              <w:t>本项目排放的</w:t>
            </w:r>
            <w:r>
              <w:rPr>
                <w:color w:val="auto"/>
                <w:szCs w:val="24"/>
                <w:highlight w:val="none"/>
              </w:rPr>
              <w:t>TRVOC、非甲烷总烃、二甲苯执行《工业企业挥发性有机物排放控制标准》（DB12/524-2020），详见下表。</w:t>
            </w:r>
          </w:p>
          <w:p>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3-</w:t>
            </w:r>
            <w:r>
              <w:rPr>
                <w:rFonts w:hint="eastAsia"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 xml:space="preserve"> 工业企业挥发性有机物排放控制标准</w:t>
            </w:r>
          </w:p>
          <w:tbl>
            <w:tblPr>
              <w:tblStyle w:val="29"/>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57" w:type="dxa"/>
                <w:bottom w:w="0" w:type="dxa"/>
                <w:right w:w="57" w:type="dxa"/>
              </w:tblCellMar>
            </w:tblPr>
            <w:tblGrid>
              <w:gridCol w:w="446"/>
              <w:gridCol w:w="722"/>
              <w:gridCol w:w="1402"/>
              <w:gridCol w:w="839"/>
              <w:gridCol w:w="1585"/>
              <w:gridCol w:w="1687"/>
              <w:gridCol w:w="169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413" w:hRule="atLeast"/>
                <w:tblHeader/>
                <w:jc w:val="center"/>
              </w:trPr>
              <w:tc>
                <w:tcPr>
                  <w:tcW w:w="26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3"/>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行业</w:t>
                  </w:r>
                </w:p>
              </w:tc>
              <w:tc>
                <w:tcPr>
                  <w:tcW w:w="43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3"/>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工艺设施</w:t>
                  </w:r>
                </w:p>
              </w:tc>
              <w:tc>
                <w:tcPr>
                  <w:tcW w:w="83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 w:val="21"/>
                      <w:szCs w:val="21"/>
                      <w:highlight w:val="none"/>
                      <w:lang w:val="en-GB"/>
                    </w:rPr>
                  </w:pPr>
                  <w:r>
                    <w:rPr>
                      <w:rFonts w:ascii="Times New Roman" w:hAnsi="Times New Roman" w:cs="Times New Roman"/>
                      <w:bCs/>
                      <w:color w:val="auto"/>
                      <w:sz w:val="21"/>
                      <w:szCs w:val="21"/>
                      <w:highlight w:val="none"/>
                      <w:lang w:val="en-GB"/>
                    </w:rPr>
                    <w:t>污染物</w:t>
                  </w:r>
                </w:p>
              </w:tc>
              <w:tc>
                <w:tcPr>
                  <w:tcW w:w="50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 w:val="21"/>
                      <w:szCs w:val="21"/>
                      <w:highlight w:val="none"/>
                      <w:lang w:val="en-GB"/>
                    </w:rPr>
                  </w:pPr>
                  <w:r>
                    <w:rPr>
                      <w:rFonts w:ascii="Times New Roman" w:hAnsi="Times New Roman" w:cs="Times New Roman"/>
                      <w:bCs/>
                      <w:color w:val="auto"/>
                      <w:sz w:val="21"/>
                      <w:szCs w:val="21"/>
                      <w:highlight w:val="none"/>
                      <w:lang w:val="en-GB"/>
                    </w:rPr>
                    <w:t>排气筒高度</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 w:val="21"/>
                      <w:szCs w:val="21"/>
                      <w:highlight w:val="none"/>
                      <w:lang w:val="en-GB"/>
                    </w:rPr>
                  </w:pPr>
                  <w:r>
                    <w:rPr>
                      <w:rFonts w:ascii="Times New Roman" w:hAnsi="Times New Roman" w:cs="Times New Roman"/>
                      <w:bCs/>
                      <w:color w:val="auto"/>
                      <w:sz w:val="21"/>
                      <w:szCs w:val="21"/>
                      <w:highlight w:val="none"/>
                      <w:lang w:val="en-GB"/>
                    </w:rPr>
                    <w:t>最高允许排放速率（kg/h）</w:t>
                  </w:r>
                </w:p>
              </w:tc>
              <w:tc>
                <w:tcPr>
                  <w:tcW w:w="10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 w:val="21"/>
                      <w:szCs w:val="21"/>
                      <w:highlight w:val="none"/>
                      <w:lang w:val="en-GB"/>
                    </w:rPr>
                  </w:pPr>
                  <w:r>
                    <w:rPr>
                      <w:rFonts w:ascii="Times New Roman" w:hAnsi="Times New Roman" w:cs="Times New Roman"/>
                      <w:bCs/>
                      <w:color w:val="auto"/>
                      <w:sz w:val="21"/>
                      <w:szCs w:val="21"/>
                      <w:highlight w:val="none"/>
                      <w:lang w:val="en-GB"/>
                    </w:rPr>
                    <w:t>最高允许排放浓度（mg/m</w:t>
                  </w:r>
                  <w:r>
                    <w:rPr>
                      <w:rFonts w:ascii="Times New Roman" w:hAnsi="Times New Roman" w:cs="Times New Roman"/>
                      <w:bCs/>
                      <w:color w:val="auto"/>
                      <w:sz w:val="21"/>
                      <w:szCs w:val="21"/>
                      <w:highlight w:val="none"/>
                      <w:vertAlign w:val="superscript"/>
                      <w:lang w:val="en-GB"/>
                    </w:rPr>
                    <w:t>3</w:t>
                  </w:r>
                  <w:r>
                    <w:rPr>
                      <w:rFonts w:ascii="Times New Roman" w:hAnsi="Times New Roman" w:cs="Times New Roman"/>
                      <w:bCs/>
                      <w:color w:val="auto"/>
                      <w:sz w:val="21"/>
                      <w:szCs w:val="21"/>
                      <w:highlight w:val="none"/>
                      <w:lang w:val="en-GB"/>
                    </w:rPr>
                    <w:t>）</w:t>
                  </w:r>
                </w:p>
              </w:tc>
              <w:tc>
                <w:tcPr>
                  <w:tcW w:w="100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bCs/>
                      <w:color w:val="auto"/>
                      <w:sz w:val="21"/>
                      <w:szCs w:val="21"/>
                      <w:highlight w:val="none"/>
                    </w:rPr>
                  </w:pPr>
                  <w:r>
                    <w:rPr>
                      <w:rFonts w:ascii="Times New Roman" w:hAnsi="Times New Roman" w:cs="Times New Roman"/>
                      <w:bCs/>
                      <w:color w:val="auto"/>
                      <w:sz w:val="21"/>
                      <w:szCs w:val="21"/>
                      <w:highlight w:val="none"/>
                    </w:rPr>
                    <w:t>厂房外监控点（</w:t>
                  </w:r>
                  <w:r>
                    <w:rPr>
                      <w:rFonts w:ascii="Times New Roman" w:hAnsi="Times New Roman" w:cs="Times New Roman"/>
                      <w:bCs/>
                      <w:color w:val="auto"/>
                      <w:sz w:val="21"/>
                      <w:szCs w:val="21"/>
                      <w:highlight w:val="none"/>
                      <w:lang w:val="en-GB"/>
                    </w:rPr>
                    <w:t>mg/m</w:t>
                  </w:r>
                  <w:r>
                    <w:rPr>
                      <w:rFonts w:ascii="Times New Roman" w:hAnsi="Times New Roman" w:cs="Times New Roman"/>
                      <w:bCs/>
                      <w:color w:val="auto"/>
                      <w:sz w:val="21"/>
                      <w:szCs w:val="21"/>
                      <w:highlight w:val="none"/>
                      <w:vertAlign w:val="superscript"/>
                      <w:lang w:val="en-GB"/>
                    </w:rPr>
                    <w:t>3</w:t>
                  </w:r>
                  <w:r>
                    <w:rPr>
                      <w:rFonts w:ascii="Times New Roman" w:hAnsi="Times New Roman" w:cs="Times New Roman"/>
                      <w:bCs/>
                      <w:color w:val="auto"/>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jc w:val="center"/>
              </w:trPr>
              <w:tc>
                <w:tcPr>
                  <w:tcW w:w="26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3"/>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表面涂装</w:t>
                  </w:r>
                </w:p>
              </w:tc>
              <w:tc>
                <w:tcPr>
                  <w:tcW w:w="43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3"/>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调漆、喷漆、烘干工艺</w:t>
                  </w:r>
                </w:p>
              </w:tc>
              <w:tc>
                <w:tcPr>
                  <w:tcW w:w="83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lang w:val="en-GB"/>
                    </w:rPr>
                    <w:t>甲苯</w:t>
                  </w:r>
                  <w:r>
                    <w:rPr>
                      <w:rFonts w:ascii="Times New Roman" w:hAnsi="Times New Roman" w:cs="Times New Roman"/>
                      <w:color w:val="auto"/>
                      <w:sz w:val="21"/>
                      <w:szCs w:val="21"/>
                      <w:highlight w:val="none"/>
                    </w:rPr>
                    <w:t>与</w:t>
                  </w:r>
                  <w:r>
                    <w:rPr>
                      <w:rFonts w:ascii="Times New Roman" w:hAnsi="Times New Roman" w:cs="Times New Roman"/>
                      <w:color w:val="auto"/>
                      <w:sz w:val="21"/>
                      <w:szCs w:val="21"/>
                      <w:highlight w:val="none"/>
                      <w:lang w:val="en-GB"/>
                    </w:rPr>
                    <w:t>二甲苯合计</w:t>
                  </w:r>
                </w:p>
              </w:tc>
              <w:tc>
                <w:tcPr>
                  <w:tcW w:w="501"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r>
                    <w:rPr>
                      <w:rFonts w:hint="eastAsia" w:ascii="Times New Roman" w:hAnsi="Times New Roman" w:cs="Times New Roman"/>
                      <w:color w:val="auto"/>
                      <w:sz w:val="21"/>
                      <w:szCs w:val="21"/>
                      <w:highlight w:val="none"/>
                      <w:lang w:val="en-US" w:eastAsia="zh-CN"/>
                    </w:rPr>
                    <w:t>15</w:t>
                  </w:r>
                  <w:r>
                    <w:rPr>
                      <w:rFonts w:ascii="Times New Roman" w:hAnsi="Times New Roman" w:cs="Times New Roman"/>
                      <w:color w:val="auto"/>
                      <w:sz w:val="21"/>
                      <w:szCs w:val="21"/>
                      <w:highlight w:val="none"/>
                      <w:lang w:val="en-GB"/>
                    </w:rPr>
                    <w:t>m</w:t>
                  </w:r>
                </w:p>
              </w:tc>
              <w:tc>
                <w:tcPr>
                  <w:tcW w:w="946"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0.6</w:t>
                  </w:r>
                </w:p>
              </w:tc>
              <w:tc>
                <w:tcPr>
                  <w:tcW w:w="100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lang w:val="en-GB"/>
                    </w:rPr>
                    <w:t>20</w:t>
                  </w:r>
                </w:p>
              </w:tc>
              <w:tc>
                <w:tcPr>
                  <w:tcW w:w="100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75" w:hRule="atLeast"/>
                <w:jc w:val="center"/>
              </w:trPr>
              <w:tc>
                <w:tcPr>
                  <w:tcW w:w="2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3"/>
                    <w:rPr>
                      <w:rFonts w:ascii="Times New Roman" w:hAnsi="Times New Roman" w:cs="Times New Roman"/>
                      <w:color w:val="auto"/>
                      <w:sz w:val="21"/>
                      <w:szCs w:val="21"/>
                      <w:highlight w:val="none"/>
                    </w:rPr>
                  </w:pPr>
                </w:p>
              </w:tc>
              <w:tc>
                <w:tcPr>
                  <w:tcW w:w="43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3"/>
                    <w:rPr>
                      <w:rFonts w:ascii="Times New Roman" w:hAnsi="Times New Roman" w:cs="Times New Roman"/>
                      <w:color w:val="auto"/>
                      <w:sz w:val="21"/>
                      <w:szCs w:val="21"/>
                      <w:highlight w:val="none"/>
                    </w:rPr>
                  </w:pPr>
                </w:p>
              </w:tc>
              <w:tc>
                <w:tcPr>
                  <w:tcW w:w="837"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lang w:val="en-GB"/>
                    </w:rPr>
                    <w:t>非甲烷总烃</w:t>
                  </w:r>
                </w:p>
              </w:tc>
              <w:tc>
                <w:tcPr>
                  <w:tcW w:w="50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p>
              </w:tc>
              <w:tc>
                <w:tcPr>
                  <w:tcW w:w="946"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1007"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40</w:t>
                  </w:r>
                </w:p>
              </w:tc>
              <w:tc>
                <w:tcPr>
                  <w:tcW w:w="1009" w:type="pct"/>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监控点处1h平均浓度值：2。</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监控点处任意一次浓度值</w:t>
                  </w:r>
                  <w:r>
                    <w:rPr>
                      <w:rFonts w:hint="eastAsia" w:cs="Times New Roman"/>
                      <w:color w:val="auto"/>
                      <w:sz w:val="21"/>
                      <w:szCs w:val="21"/>
                      <w:highlight w:val="none"/>
                      <w:lang w:eastAsia="zh-CN"/>
                    </w:rPr>
                    <w:t>：</w:t>
                  </w:r>
                  <w:r>
                    <w:rPr>
                      <w:rFonts w:ascii="Times New Roman" w:hAnsi="Times New Roman" w:cs="Times New Roman"/>
                      <w:color w:val="auto"/>
                      <w:sz w:val="21"/>
                      <w:szCs w:val="21"/>
                      <w:highlight w:val="none"/>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11" w:hRule="atLeast"/>
                <w:jc w:val="center"/>
              </w:trPr>
              <w:tc>
                <w:tcPr>
                  <w:tcW w:w="266"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3"/>
                    <w:rPr>
                      <w:rFonts w:ascii="Times New Roman" w:hAnsi="Times New Roman" w:cs="Times New Roman"/>
                      <w:color w:val="auto"/>
                      <w:sz w:val="21"/>
                      <w:szCs w:val="21"/>
                      <w:highlight w:val="none"/>
                    </w:rPr>
                  </w:pPr>
                </w:p>
              </w:tc>
              <w:tc>
                <w:tcPr>
                  <w:tcW w:w="43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3"/>
                    <w:rPr>
                      <w:rFonts w:ascii="Times New Roman" w:hAnsi="Times New Roman" w:cs="Times New Roman"/>
                      <w:color w:val="auto"/>
                      <w:sz w:val="21"/>
                      <w:szCs w:val="21"/>
                      <w:highlight w:val="none"/>
                    </w:rPr>
                  </w:pPr>
                </w:p>
              </w:tc>
              <w:tc>
                <w:tcPr>
                  <w:tcW w:w="837"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TRVOC</w:t>
                  </w:r>
                </w:p>
              </w:tc>
              <w:tc>
                <w:tcPr>
                  <w:tcW w:w="501"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p>
              </w:tc>
              <w:tc>
                <w:tcPr>
                  <w:tcW w:w="946"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c>
                <w:tcPr>
                  <w:tcW w:w="1007"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50</w:t>
                  </w:r>
                </w:p>
              </w:tc>
              <w:tc>
                <w:tcPr>
                  <w:tcW w:w="1009" w:type="pct"/>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r>
          </w:tbl>
          <w:p>
            <w:pPr>
              <w:pStyle w:val="92"/>
              <w:ind w:firstLine="422"/>
              <w:rPr>
                <w:rFonts w:ascii="Times New Roman" w:hAnsi="Times New Roman" w:cs="Times New Roman"/>
                <w:color w:val="auto"/>
                <w:kern w:val="24"/>
                <w:highlight w:val="none"/>
              </w:rPr>
            </w:pPr>
            <w:r>
              <w:rPr>
                <w:rFonts w:ascii="Times New Roman" w:hAnsi="Times New Roman" w:cs="Times New Roman"/>
                <w:b/>
                <w:bCs/>
                <w:color w:val="auto"/>
                <w:sz w:val="21"/>
                <w:szCs w:val="32"/>
                <w:highlight w:val="none"/>
              </w:rPr>
              <w:t>*调漆、喷漆、晾干工艺对应排气筒P</w:t>
            </w:r>
            <w:r>
              <w:rPr>
                <w:rFonts w:hint="eastAsia" w:ascii="Times New Roman" w:hAnsi="Times New Roman" w:cs="Times New Roman"/>
                <w:b/>
                <w:bCs/>
                <w:color w:val="auto"/>
                <w:sz w:val="21"/>
                <w:szCs w:val="32"/>
                <w:highlight w:val="none"/>
                <w:lang w:val="en-US" w:eastAsia="zh-CN"/>
              </w:rPr>
              <w:t>6</w:t>
            </w:r>
            <w:r>
              <w:rPr>
                <w:rFonts w:ascii="Times New Roman" w:hAnsi="Times New Roman" w:cs="Times New Roman"/>
                <w:b/>
                <w:bCs/>
                <w:color w:val="auto"/>
                <w:sz w:val="21"/>
                <w:szCs w:val="32"/>
                <w:highlight w:val="none"/>
              </w:rPr>
              <w:t>高度设置为</w:t>
            </w:r>
            <w:r>
              <w:rPr>
                <w:rFonts w:hint="eastAsia" w:ascii="Times New Roman" w:hAnsi="Times New Roman" w:cs="Times New Roman"/>
                <w:b/>
                <w:bCs/>
                <w:color w:val="auto"/>
                <w:sz w:val="21"/>
                <w:szCs w:val="32"/>
                <w:highlight w:val="none"/>
                <w:lang w:val="en-US" w:eastAsia="zh-CN"/>
              </w:rPr>
              <w:t>15</w:t>
            </w:r>
            <w:r>
              <w:rPr>
                <w:rFonts w:ascii="Times New Roman" w:hAnsi="Times New Roman" w:cs="Times New Roman"/>
                <w:b/>
                <w:bCs/>
                <w:color w:val="auto"/>
                <w:sz w:val="21"/>
                <w:szCs w:val="32"/>
                <w:highlight w:val="none"/>
              </w:rPr>
              <w:t>m，本项目排气筒满足不低于15m的要求。</w:t>
            </w:r>
          </w:p>
          <w:p>
            <w:pPr>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kern w:val="24"/>
                <w:sz w:val="24"/>
                <w:highlight w:val="none"/>
              </w:rPr>
              <w:t>废气污染物乙苯、臭气浓度执行《恶臭污染物排放标准》（DB12/059-2018）中相关标准限值要求。</w:t>
            </w:r>
          </w:p>
          <w:p>
            <w:pPr>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7</w:t>
            </w:r>
            <w:r>
              <w:rPr>
                <w:rFonts w:hint="eastAsia" w:ascii="Times New Roman" w:hAnsi="Times New Roman" w:eastAsia="宋体" w:cs="Times New Roman"/>
                <w:b/>
                <w:bCs/>
                <w:color w:val="auto"/>
                <w:sz w:val="21"/>
                <w:szCs w:val="21"/>
                <w:highlight w:val="none"/>
                <w:lang w:val="en-US" w:eastAsia="zh-CN"/>
              </w:rPr>
              <w:t xml:space="preserve"> 恶臭污染物排放标准</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903"/>
              <w:gridCol w:w="1028"/>
              <w:gridCol w:w="1323"/>
              <w:gridCol w:w="2059"/>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blHeader/>
                <w:jc w:val="center"/>
              </w:trPr>
              <w:tc>
                <w:tcPr>
                  <w:tcW w:w="113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outlineLvl w:val="3"/>
                    <w:rPr>
                      <w:rFonts w:ascii="Times New Roman" w:hAnsi="Times New Roman" w:eastAsia="宋体" w:cs="Times New Roman"/>
                      <w:color w:val="auto"/>
                      <w:sz w:val="21"/>
                      <w:szCs w:val="21"/>
                      <w:highlight w:val="none"/>
                      <w:lang w:val="en-US" w:eastAsia="zh-CN" w:bidi="ar-SA"/>
                    </w:rPr>
                  </w:pPr>
                  <w:r>
                    <w:rPr>
                      <w:rFonts w:ascii="Times New Roman" w:hAnsi="Times New Roman" w:eastAsia="宋体" w:cs="Times New Roman"/>
                      <w:color w:val="auto"/>
                      <w:sz w:val="21"/>
                      <w:szCs w:val="21"/>
                      <w:highlight w:val="none"/>
                      <w:lang w:val="en-US" w:eastAsia="zh-CN" w:bidi="ar-SA"/>
                    </w:rPr>
                    <w:t>工艺设施</w:t>
                  </w:r>
                </w:p>
              </w:tc>
              <w:tc>
                <w:tcPr>
                  <w:tcW w:w="61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Times New Roman"/>
                      <w:color w:val="auto"/>
                      <w:sz w:val="21"/>
                      <w:szCs w:val="21"/>
                      <w:highlight w:val="none"/>
                      <w:lang w:val="en-GB" w:eastAsia="zh-CN" w:bidi="ar-SA"/>
                    </w:rPr>
                  </w:pPr>
                  <w:r>
                    <w:rPr>
                      <w:rFonts w:ascii="Times New Roman" w:hAnsi="Times New Roman" w:eastAsia="宋体" w:cs="Times New Roman"/>
                      <w:color w:val="auto"/>
                      <w:sz w:val="21"/>
                      <w:szCs w:val="21"/>
                      <w:highlight w:val="none"/>
                      <w:lang w:val="en-GB" w:eastAsia="zh-CN" w:bidi="ar-SA"/>
                    </w:rPr>
                    <w:t>污染物</w:t>
                  </w:r>
                </w:p>
              </w:tc>
              <w:tc>
                <w:tcPr>
                  <w:tcW w:w="790"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Times New Roman"/>
                      <w:color w:val="auto"/>
                      <w:sz w:val="21"/>
                      <w:szCs w:val="21"/>
                      <w:highlight w:val="none"/>
                      <w:lang w:val="en-GB" w:eastAsia="zh-CN" w:bidi="ar-SA"/>
                    </w:rPr>
                  </w:pPr>
                  <w:r>
                    <w:rPr>
                      <w:rFonts w:ascii="Times New Roman" w:hAnsi="Times New Roman" w:eastAsia="宋体" w:cs="Times New Roman"/>
                      <w:color w:val="auto"/>
                      <w:sz w:val="21"/>
                      <w:szCs w:val="21"/>
                      <w:highlight w:val="none"/>
                      <w:lang w:val="en-GB" w:eastAsia="zh-CN" w:bidi="ar-SA"/>
                    </w:rPr>
                    <w:t>排气筒高度</w:t>
                  </w:r>
                </w:p>
              </w:tc>
              <w:tc>
                <w:tcPr>
                  <w:tcW w:w="12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Times New Roman"/>
                      <w:color w:val="auto"/>
                      <w:sz w:val="21"/>
                      <w:szCs w:val="21"/>
                      <w:highlight w:val="none"/>
                      <w:lang w:val="en-GB" w:eastAsia="zh-CN" w:bidi="ar-SA"/>
                    </w:rPr>
                  </w:pPr>
                  <w:r>
                    <w:rPr>
                      <w:rFonts w:ascii="Times New Roman" w:hAnsi="Times New Roman" w:eastAsia="宋体" w:cs="Times New Roman"/>
                      <w:color w:val="auto"/>
                      <w:sz w:val="21"/>
                      <w:szCs w:val="21"/>
                      <w:highlight w:val="none"/>
                      <w:lang w:val="en-GB" w:eastAsia="zh-CN" w:bidi="ar-SA"/>
                    </w:rPr>
                    <w:t>最高允许排放速率（kg/h）</w:t>
                  </w:r>
                </w:p>
              </w:tc>
              <w:tc>
                <w:tcPr>
                  <w:tcW w:w="122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ascii="Times New Roman" w:hAnsi="Times New Roman" w:eastAsia="宋体" w:cs="Times New Roman"/>
                      <w:color w:val="auto"/>
                      <w:sz w:val="21"/>
                      <w:szCs w:val="21"/>
                      <w:highlight w:val="none"/>
                      <w:lang w:val="en-GB" w:eastAsia="zh-CN" w:bidi="ar-SA"/>
                    </w:rPr>
                  </w:pPr>
                  <w:r>
                    <w:rPr>
                      <w:rFonts w:ascii="Times New Roman" w:hAnsi="Times New Roman" w:eastAsia="宋体" w:cs="Times New Roman"/>
                      <w:color w:val="auto"/>
                      <w:sz w:val="21"/>
                      <w:szCs w:val="21"/>
                      <w:highlight w:val="none"/>
                      <w:lang w:val="en-US" w:eastAsia="zh-CN" w:bidi="ar-SA"/>
                    </w:rPr>
                    <w:t>无组织排放监测点浓度限值（mg/m</w:t>
                  </w:r>
                  <w:r>
                    <w:rPr>
                      <w:rFonts w:ascii="Times New Roman" w:hAnsi="Times New Roman" w:eastAsia="宋体" w:cs="Times New Roman"/>
                      <w:color w:val="auto"/>
                      <w:sz w:val="21"/>
                      <w:szCs w:val="21"/>
                      <w:highlight w:val="none"/>
                      <w:vertAlign w:val="superscript"/>
                      <w:lang w:val="en-US" w:eastAsia="zh-CN" w:bidi="ar-SA"/>
                    </w:rPr>
                    <w:t>3</w:t>
                  </w:r>
                  <w:r>
                    <w:rPr>
                      <w:rFonts w:ascii="Times New Roman" w:hAnsi="Times New Roman" w:eastAsia="宋体" w:cs="Times New Roman"/>
                      <w:color w:val="auto"/>
                      <w:sz w:val="21"/>
                      <w:szCs w:val="21"/>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1136" w:type="pct"/>
                  <w:vMerge w:val="restart"/>
                  <w:tcBorders>
                    <w:top w:val="single" w:color="auto" w:sz="4" w:space="0"/>
                    <w:left w:val="single" w:color="auto" w:sz="4"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outlineLvl w:val="3"/>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调漆、喷漆、</w:t>
                  </w:r>
                  <w:r>
                    <w:rPr>
                      <w:rFonts w:hint="eastAsia" w:ascii="Times New Roman" w:hAnsi="Times New Roman" w:eastAsia="宋体" w:cs="Times New Roman"/>
                      <w:color w:val="auto"/>
                      <w:szCs w:val="21"/>
                      <w:highlight w:val="none"/>
                      <w:lang w:val="en-US" w:eastAsia="zh-CN"/>
                    </w:rPr>
                    <w:t>晾干</w:t>
                  </w:r>
                  <w:r>
                    <w:rPr>
                      <w:rFonts w:ascii="Times New Roman" w:hAnsi="Times New Roman" w:eastAsia="宋体" w:cs="Times New Roman"/>
                      <w:color w:val="auto"/>
                      <w:szCs w:val="21"/>
                      <w:highlight w:val="none"/>
                    </w:rPr>
                    <w:t>工艺</w:t>
                  </w:r>
                </w:p>
              </w:tc>
              <w:tc>
                <w:tcPr>
                  <w:tcW w:w="614" w:type="pct"/>
                  <w:tcBorders>
                    <w:top w:val="single" w:color="auto" w:sz="4" w:space="0"/>
                    <w:left w:val="single" w:color="auto" w:sz="4" w:space="0"/>
                    <w:bottom w:val="single" w:color="auto" w:sz="4"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outlineLvl w:val="3"/>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乙苯</w:t>
                  </w:r>
                </w:p>
              </w:tc>
              <w:tc>
                <w:tcPr>
                  <w:tcW w:w="790" w:type="pct"/>
                  <w:vMerge w:val="restart"/>
                  <w:tcBorders>
                    <w:top w:val="single" w:color="auto" w:sz="4" w:space="0"/>
                    <w:left w:val="single" w:color="auto" w:sz="4"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outlineLvl w:val="3"/>
                    <w:rPr>
                      <w:rFonts w:ascii="Times New Roman" w:hAnsi="Times New Roman" w:eastAsia="宋体" w:cs="Times New Roman"/>
                      <w:color w:val="auto"/>
                      <w:szCs w:val="21"/>
                      <w:highlight w:val="none"/>
                      <w:lang w:val="en-GB"/>
                    </w:rPr>
                  </w:pPr>
                  <w:r>
                    <w:rPr>
                      <w:rFonts w:hint="eastAsia" w:ascii="Times New Roman" w:hAnsi="Times New Roman" w:eastAsia="宋体" w:cs="Times New Roman"/>
                      <w:color w:val="auto"/>
                      <w:szCs w:val="21"/>
                      <w:highlight w:val="none"/>
                      <w:lang w:val="en-US" w:eastAsia="zh-CN"/>
                    </w:rPr>
                    <w:t>15</w:t>
                  </w:r>
                  <w:r>
                    <w:rPr>
                      <w:rFonts w:ascii="Times New Roman" w:hAnsi="Times New Roman" w:eastAsia="宋体" w:cs="Times New Roman"/>
                      <w:color w:val="auto"/>
                      <w:szCs w:val="21"/>
                      <w:highlight w:val="none"/>
                      <w:lang w:val="en-GB"/>
                    </w:rPr>
                    <w:t>m</w:t>
                  </w:r>
                </w:p>
              </w:tc>
              <w:tc>
                <w:tcPr>
                  <w:tcW w:w="1229" w:type="pct"/>
                  <w:tcBorders>
                    <w:top w:val="single" w:color="auto" w:sz="4" w:space="0"/>
                    <w:left w:val="single" w:color="auto" w:sz="4" w:space="0"/>
                    <w:bottom w:val="single" w:color="auto" w:sz="4"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outlineLvl w:val="3"/>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w:t>
                  </w:r>
                </w:p>
              </w:tc>
              <w:tc>
                <w:tcPr>
                  <w:tcW w:w="1229" w:type="pct"/>
                  <w:tcBorders>
                    <w:top w:val="single" w:color="auto" w:sz="4" w:space="0"/>
                    <w:left w:val="single" w:color="auto" w:sz="4" w:space="0"/>
                    <w:bottom w:val="single" w:color="auto" w:sz="4"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outlineLvl w:val="3"/>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4" w:hRule="atLeast"/>
                <w:jc w:val="center"/>
              </w:trPr>
              <w:tc>
                <w:tcPr>
                  <w:tcW w:w="1136" w:type="pct"/>
                  <w:vMerge w:val="continue"/>
                  <w:tcBorders>
                    <w:left w:val="single" w:color="auto" w:sz="4"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outlineLvl w:val="3"/>
                    <w:rPr>
                      <w:rFonts w:ascii="Times New Roman" w:hAnsi="Times New Roman" w:eastAsia="宋体" w:cs="Times New Roman"/>
                      <w:color w:val="auto"/>
                      <w:szCs w:val="21"/>
                      <w:highlight w:val="none"/>
                    </w:rPr>
                  </w:pPr>
                </w:p>
              </w:tc>
              <w:tc>
                <w:tcPr>
                  <w:tcW w:w="614" w:type="pct"/>
                  <w:tcBorders>
                    <w:top w:val="single" w:color="auto" w:sz="4" w:space="0"/>
                    <w:left w:val="single" w:color="auto" w:sz="4" w:space="0"/>
                    <w:bottom w:val="single" w:color="auto" w:sz="4"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outlineLvl w:val="3"/>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臭气浓度</w:t>
                  </w:r>
                </w:p>
              </w:tc>
              <w:tc>
                <w:tcPr>
                  <w:tcW w:w="790" w:type="pct"/>
                  <w:vMerge w:val="continue"/>
                  <w:tcBorders>
                    <w:left w:val="single" w:color="auto" w:sz="4"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outlineLvl w:val="3"/>
                    <w:rPr>
                      <w:rFonts w:ascii="Times New Roman" w:hAnsi="Times New Roman" w:eastAsia="宋体" w:cs="Times New Roman"/>
                      <w:color w:val="auto"/>
                      <w:szCs w:val="21"/>
                      <w:highlight w:val="none"/>
                      <w:lang w:val="en-GB"/>
                    </w:rPr>
                  </w:pPr>
                </w:p>
              </w:tc>
              <w:tc>
                <w:tcPr>
                  <w:tcW w:w="1229" w:type="pct"/>
                  <w:tcBorders>
                    <w:top w:val="single" w:color="auto" w:sz="4" w:space="0"/>
                    <w:left w:val="single" w:color="auto" w:sz="4" w:space="0"/>
                    <w:bottom w:val="single" w:color="auto" w:sz="4"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outlineLvl w:val="3"/>
                    <w:rPr>
                      <w:rFonts w:ascii="Times New Roman" w:hAnsi="Times New Roman" w:eastAsia="宋体" w:cs="Times New Roman"/>
                      <w:color w:val="auto"/>
                      <w:szCs w:val="21"/>
                      <w:highlight w:val="none"/>
                      <w:lang w:val="en-GB"/>
                    </w:rPr>
                  </w:pPr>
                  <w:r>
                    <w:rPr>
                      <w:rFonts w:ascii="Times New Roman" w:hAnsi="Times New Roman" w:eastAsia="宋体" w:cs="Times New Roman"/>
                      <w:color w:val="auto"/>
                      <w:szCs w:val="21"/>
                      <w:highlight w:val="none"/>
                      <w:lang w:val="en-GB"/>
                    </w:rPr>
                    <w:t>1000（无量纲）</w:t>
                  </w:r>
                </w:p>
              </w:tc>
              <w:tc>
                <w:tcPr>
                  <w:tcW w:w="1229" w:type="pct"/>
                  <w:tcBorders>
                    <w:top w:val="single" w:color="auto" w:sz="4" w:space="0"/>
                    <w:left w:val="single" w:color="auto" w:sz="4" w:space="0"/>
                    <w:bottom w:val="single" w:color="auto" w:sz="4" w:space="0"/>
                    <w:right w:val="single" w:color="auto" w:sz="4" w:space="0"/>
                  </w:tcBorders>
                  <w:vAlign w:val="center"/>
                </w:tcPr>
                <w:p>
                  <w:pPr>
                    <w:pStyle w:val="60"/>
                    <w:keepNext w:val="0"/>
                    <w:keepLines w:val="0"/>
                    <w:pageBreakBefore w:val="0"/>
                    <w:widowControl w:val="0"/>
                    <w:kinsoku/>
                    <w:wordWrap/>
                    <w:overflowPunct/>
                    <w:topLinePunct w:val="0"/>
                    <w:autoSpaceDE/>
                    <w:autoSpaceDN/>
                    <w:bidi w:val="0"/>
                    <w:snapToGrid/>
                    <w:spacing w:beforeLines="0" w:afterLines="0" w:line="240" w:lineRule="auto"/>
                    <w:ind w:left="0" w:leftChars="0" w:firstLine="0" w:firstLineChars="0"/>
                    <w:jc w:val="center"/>
                    <w:textAlignment w:val="auto"/>
                    <w:outlineLvl w:val="3"/>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20（无量纲）</w:t>
                  </w:r>
                </w:p>
              </w:tc>
            </w:tr>
          </w:tbl>
          <w:p>
            <w:pPr>
              <w:pStyle w:val="92"/>
              <w:ind w:firstLine="480"/>
              <w:rPr>
                <w:rFonts w:ascii="Times New Roman" w:hAnsi="Times New Roman" w:cs="Times New Roman"/>
                <w:color w:val="auto"/>
                <w:szCs w:val="32"/>
                <w:highlight w:val="none"/>
              </w:rPr>
            </w:pPr>
            <w:r>
              <w:rPr>
                <w:rFonts w:ascii="Times New Roman" w:hAnsi="Times New Roman" w:cs="Times New Roman"/>
                <w:color w:val="auto"/>
                <w:highlight w:val="none"/>
              </w:rPr>
              <w:t>切割烟尘、焊接烟尘、抛丸粉尘、喷漆产生的颗粒物以及厂界处二甲苯和非甲烷总烃执行《大气污染物综合排放标准》（GB16297-1996）中相关标准，详见下表。</w:t>
            </w:r>
          </w:p>
          <w:p>
            <w:pPr>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8</w:t>
            </w:r>
            <w:r>
              <w:rPr>
                <w:rFonts w:hint="eastAsia" w:ascii="Times New Roman" w:hAnsi="Times New Roman" w:eastAsia="宋体" w:cs="Times New Roman"/>
                <w:b/>
                <w:bCs/>
                <w:color w:val="auto"/>
                <w:sz w:val="21"/>
                <w:szCs w:val="21"/>
                <w:highlight w:val="none"/>
                <w:lang w:val="en-US" w:eastAsia="zh-CN"/>
              </w:rPr>
              <w:t xml:space="preserve"> 大气污染物综合排放标准</w:t>
            </w:r>
          </w:p>
          <w:tbl>
            <w:tblPr>
              <w:tblStyle w:val="2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44"/>
              <w:gridCol w:w="801"/>
              <w:gridCol w:w="1325"/>
              <w:gridCol w:w="1505"/>
              <w:gridCol w:w="1746"/>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blHeader/>
                <w:jc w:val="center"/>
              </w:trPr>
              <w:tc>
                <w:tcPr>
                  <w:tcW w:w="6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3"/>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工艺设施</w:t>
                  </w:r>
                </w:p>
              </w:tc>
              <w:tc>
                <w:tcPr>
                  <w:tcW w:w="47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lang w:val="en-GB"/>
                    </w:rPr>
                    <w:t>污染物</w:t>
                  </w:r>
                </w:p>
              </w:tc>
              <w:tc>
                <w:tcPr>
                  <w:tcW w:w="7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lang w:val="en-GB"/>
                    </w:rPr>
                    <w:t>排气筒高度</w:t>
                  </w:r>
                </w:p>
              </w:tc>
              <w:tc>
                <w:tcPr>
                  <w:tcW w:w="8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lang w:val="en-GB"/>
                    </w:rPr>
                    <w:t>最高允许排放速率（kg/h）</w:t>
                  </w:r>
                </w:p>
              </w:tc>
              <w:tc>
                <w:tcPr>
                  <w:tcW w:w="10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lang w:val="en-GB"/>
                    </w:rPr>
                    <w:t>最高允许排放浓度（mg/m</w:t>
                  </w:r>
                  <w:r>
                    <w:rPr>
                      <w:rFonts w:ascii="Times New Roman" w:hAnsi="Times New Roman" w:cs="Times New Roman"/>
                      <w:color w:val="auto"/>
                      <w:sz w:val="21"/>
                      <w:szCs w:val="21"/>
                      <w:highlight w:val="none"/>
                      <w:vertAlign w:val="superscript"/>
                      <w:lang w:val="en-GB"/>
                    </w:rPr>
                    <w:t>3</w:t>
                  </w:r>
                  <w:r>
                    <w:rPr>
                      <w:rFonts w:ascii="Times New Roman" w:hAnsi="Times New Roman" w:cs="Times New Roman"/>
                      <w:color w:val="auto"/>
                      <w:sz w:val="21"/>
                      <w:szCs w:val="21"/>
                      <w:highlight w:val="none"/>
                      <w:lang w:val="en-GB"/>
                    </w:rPr>
                    <w:t>）</w:t>
                  </w:r>
                </w:p>
              </w:tc>
              <w:tc>
                <w:tcPr>
                  <w:tcW w:w="110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lang w:val="en-GB"/>
                    </w:rPr>
                    <w:t>无组织排放监测点浓度限值（mg/m</w:t>
                  </w:r>
                  <w:r>
                    <w:rPr>
                      <w:rFonts w:ascii="Times New Roman" w:hAnsi="Times New Roman" w:cs="Times New Roman"/>
                      <w:color w:val="auto"/>
                      <w:sz w:val="21"/>
                      <w:szCs w:val="21"/>
                      <w:highlight w:val="none"/>
                      <w:vertAlign w:val="superscript"/>
                      <w:lang w:val="en-GB"/>
                    </w:rPr>
                    <w:t>3</w:t>
                  </w:r>
                  <w:r>
                    <w:rPr>
                      <w:rFonts w:ascii="Times New Roman" w:hAnsi="Times New Roman" w:cs="Times New Roman"/>
                      <w:color w:val="auto"/>
                      <w:sz w:val="21"/>
                      <w:szCs w:val="21"/>
                      <w:highlight w:val="none"/>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2" w:hRule="atLeast"/>
                <w:jc w:val="center"/>
              </w:trPr>
              <w:tc>
                <w:tcPr>
                  <w:tcW w:w="6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3"/>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切割</w:t>
                  </w:r>
                </w:p>
              </w:tc>
              <w:tc>
                <w:tcPr>
                  <w:tcW w:w="47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lang w:val="en-GB"/>
                    </w:rPr>
                    <w:t>颗粒物</w:t>
                  </w:r>
                </w:p>
              </w:tc>
              <w:tc>
                <w:tcPr>
                  <w:tcW w:w="7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r>
                    <w:rPr>
                      <w:rFonts w:hint="eastAsia" w:ascii="Times New Roman" w:hAnsi="Times New Roman" w:cs="Times New Roman"/>
                      <w:color w:val="auto"/>
                      <w:sz w:val="21"/>
                      <w:szCs w:val="21"/>
                      <w:highlight w:val="none"/>
                      <w:lang w:val="en-US" w:eastAsia="zh-CN"/>
                    </w:rPr>
                    <w:t>18</w:t>
                  </w:r>
                  <w:r>
                    <w:rPr>
                      <w:rFonts w:ascii="Times New Roman" w:hAnsi="Times New Roman" w:cs="Times New Roman"/>
                      <w:color w:val="auto"/>
                      <w:sz w:val="21"/>
                      <w:szCs w:val="21"/>
                      <w:highlight w:val="none"/>
                      <w:lang w:val="en-GB"/>
                    </w:rPr>
                    <w:t>m</w:t>
                  </w:r>
                </w:p>
              </w:tc>
              <w:tc>
                <w:tcPr>
                  <w:tcW w:w="898"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4.94</w:t>
                  </w:r>
                </w:p>
              </w:tc>
              <w:tc>
                <w:tcPr>
                  <w:tcW w:w="1042"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lang w:val="en-GB"/>
                    </w:rPr>
                    <w:t>120</w:t>
                  </w:r>
                </w:p>
              </w:tc>
              <w:tc>
                <w:tcPr>
                  <w:tcW w:w="1104" w:type="pct"/>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w:t>
                  </w:r>
                  <w:r>
                    <w:rPr>
                      <w:rFonts w:hint="eastAsia" w:ascii="Times New Roman" w:hAnsi="Times New Roman" w:cs="Times New Roman"/>
                      <w:color w:val="auto"/>
                      <w:sz w:val="21"/>
                      <w:szCs w:val="21"/>
                      <w:highlight w:val="none"/>
                    </w:rPr>
                    <w:t>（周界外浓度最高点）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2" w:hRule="atLeast"/>
                <w:jc w:val="center"/>
              </w:trPr>
              <w:tc>
                <w:tcPr>
                  <w:tcW w:w="6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3"/>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焊接</w:t>
                  </w:r>
                </w:p>
              </w:tc>
              <w:tc>
                <w:tcPr>
                  <w:tcW w:w="47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lang w:val="en-GB"/>
                    </w:rPr>
                    <w:t>颗粒物</w:t>
                  </w:r>
                </w:p>
              </w:tc>
              <w:tc>
                <w:tcPr>
                  <w:tcW w:w="7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18</w:t>
                  </w:r>
                  <w:r>
                    <w:rPr>
                      <w:rFonts w:ascii="Times New Roman" w:hAnsi="Times New Roman" w:cs="Times New Roman"/>
                      <w:color w:val="auto"/>
                      <w:sz w:val="21"/>
                      <w:szCs w:val="21"/>
                      <w:highlight w:val="none"/>
                      <w:lang w:val="en-GB"/>
                    </w:rPr>
                    <w:t>m</w:t>
                  </w:r>
                </w:p>
              </w:tc>
              <w:tc>
                <w:tcPr>
                  <w:tcW w:w="898"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p>
              </w:tc>
              <w:tc>
                <w:tcPr>
                  <w:tcW w:w="1042"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p>
              </w:tc>
              <w:tc>
                <w:tcPr>
                  <w:tcW w:w="1104" w:type="pct"/>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2" w:hRule="atLeast"/>
                <w:jc w:val="center"/>
              </w:trPr>
              <w:tc>
                <w:tcPr>
                  <w:tcW w:w="6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3"/>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抛丸</w:t>
                  </w:r>
                </w:p>
              </w:tc>
              <w:tc>
                <w:tcPr>
                  <w:tcW w:w="47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r>
                    <w:rPr>
                      <w:rFonts w:ascii="Times New Roman" w:hAnsi="Times New Roman" w:cs="Times New Roman"/>
                      <w:color w:val="auto"/>
                      <w:sz w:val="21"/>
                      <w:szCs w:val="21"/>
                      <w:highlight w:val="none"/>
                      <w:lang w:val="en-GB"/>
                    </w:rPr>
                    <w:t>颗粒物</w:t>
                  </w:r>
                </w:p>
              </w:tc>
              <w:tc>
                <w:tcPr>
                  <w:tcW w:w="7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18</w:t>
                  </w:r>
                  <w:r>
                    <w:rPr>
                      <w:rFonts w:ascii="Times New Roman" w:hAnsi="Times New Roman" w:cs="Times New Roman"/>
                      <w:color w:val="auto"/>
                      <w:sz w:val="21"/>
                      <w:szCs w:val="21"/>
                      <w:highlight w:val="none"/>
                      <w:lang w:val="en-GB"/>
                    </w:rPr>
                    <w:t>m</w:t>
                  </w:r>
                </w:p>
              </w:tc>
              <w:tc>
                <w:tcPr>
                  <w:tcW w:w="898"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p>
              </w:tc>
              <w:tc>
                <w:tcPr>
                  <w:tcW w:w="1042"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p>
              </w:tc>
              <w:tc>
                <w:tcPr>
                  <w:tcW w:w="1104" w:type="pct"/>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2" w:hRule="atLeast"/>
                <w:jc w:val="center"/>
              </w:trPr>
              <w:tc>
                <w:tcPr>
                  <w:tcW w:w="68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3"/>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喷漆晾干</w:t>
                  </w:r>
                </w:p>
              </w:tc>
              <w:tc>
                <w:tcPr>
                  <w:tcW w:w="47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非甲烷总烃</w:t>
                  </w:r>
                </w:p>
              </w:tc>
              <w:tc>
                <w:tcPr>
                  <w:tcW w:w="7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8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0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10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4.0</w:t>
                  </w:r>
                  <w:r>
                    <w:rPr>
                      <w:rFonts w:hint="eastAsia" w:ascii="Times New Roman" w:hAnsi="Times New Roman" w:cs="Times New Roman"/>
                      <w:color w:val="auto"/>
                      <w:sz w:val="21"/>
                      <w:szCs w:val="21"/>
                      <w:highlight w:val="none"/>
                    </w:rPr>
                    <w:t>（周界外浓度最高点）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2" w:hRule="atLeast"/>
                <w:jc w:val="center"/>
              </w:trPr>
              <w:tc>
                <w:tcPr>
                  <w:tcW w:w="683" w:type="pc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3"/>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喷漆晾干</w:t>
                  </w:r>
                </w:p>
              </w:tc>
              <w:tc>
                <w:tcPr>
                  <w:tcW w:w="47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二甲苯</w:t>
                  </w:r>
                </w:p>
              </w:tc>
              <w:tc>
                <w:tcPr>
                  <w:tcW w:w="79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898"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0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w:t>
                  </w:r>
                </w:p>
              </w:tc>
              <w:tc>
                <w:tcPr>
                  <w:tcW w:w="110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1.2</w:t>
                  </w:r>
                  <w:r>
                    <w:rPr>
                      <w:rFonts w:hint="eastAsia" w:ascii="Times New Roman" w:hAnsi="Times New Roman" w:cs="Times New Roman"/>
                      <w:color w:val="auto"/>
                      <w:sz w:val="21"/>
                      <w:szCs w:val="21"/>
                      <w:highlight w:val="none"/>
                    </w:rPr>
                    <w:t>（周界外浓度最高点）</w:t>
                  </w:r>
                </w:p>
              </w:tc>
            </w:tr>
          </w:tbl>
          <w:p>
            <w:pPr>
              <w:pStyle w:val="92"/>
              <w:ind w:firstLine="422"/>
              <w:rPr>
                <w:rFonts w:hint="default" w:ascii="Times New Roman" w:hAnsi="Times New Roman" w:cs="Times New Roman"/>
                <w:b/>
                <w:bCs/>
                <w:color w:val="auto"/>
                <w:highlight w:val="none"/>
              </w:rPr>
            </w:pPr>
            <w:r>
              <w:rPr>
                <w:rFonts w:hint="eastAsia" w:ascii="Times New Roman" w:hAnsi="Times New Roman" w:cs="Times New Roman"/>
                <w:b/>
                <w:bCs/>
                <w:color w:val="auto"/>
                <w:sz w:val="21"/>
                <w:szCs w:val="32"/>
                <w:highlight w:val="none"/>
                <w:lang w:val="en-US" w:eastAsia="zh-CN"/>
              </w:rPr>
              <w:t>本项目</w:t>
            </w:r>
            <w:r>
              <w:rPr>
                <w:rFonts w:ascii="Times New Roman" w:hAnsi="Times New Roman" w:cs="Times New Roman"/>
                <w:b/>
                <w:bCs/>
                <w:color w:val="auto"/>
                <w:sz w:val="21"/>
                <w:szCs w:val="32"/>
                <w:highlight w:val="none"/>
              </w:rPr>
              <w:t>排气筒</w:t>
            </w:r>
            <w:r>
              <w:rPr>
                <w:rFonts w:hint="eastAsia" w:ascii="Times New Roman" w:hAnsi="Times New Roman" w:cs="Times New Roman"/>
                <w:b/>
                <w:bCs/>
                <w:color w:val="auto"/>
                <w:sz w:val="21"/>
                <w:szCs w:val="32"/>
                <w:highlight w:val="none"/>
                <w:lang w:val="en-US" w:eastAsia="zh-CN"/>
              </w:rPr>
              <w:t xml:space="preserve">P1-P5 </w:t>
            </w:r>
            <w:r>
              <w:rPr>
                <w:rFonts w:ascii="Times New Roman" w:hAnsi="Times New Roman" w:cs="Times New Roman"/>
                <w:b/>
                <w:bCs/>
                <w:color w:val="auto"/>
                <w:sz w:val="21"/>
                <w:szCs w:val="32"/>
                <w:highlight w:val="none"/>
              </w:rPr>
              <w:t>200m范围内最高建筑物为</w:t>
            </w:r>
            <w:r>
              <w:rPr>
                <w:rFonts w:hint="eastAsia" w:ascii="Times New Roman" w:hAnsi="Times New Roman" w:cs="Times New Roman"/>
                <w:b/>
                <w:bCs/>
                <w:color w:val="auto"/>
                <w:sz w:val="21"/>
                <w:szCs w:val="32"/>
                <w:highlight w:val="none"/>
                <w:lang w:val="en-US" w:eastAsia="zh-CN"/>
              </w:rPr>
              <w:t>本项目</w:t>
            </w:r>
            <w:r>
              <w:rPr>
                <w:rFonts w:ascii="Times New Roman" w:hAnsi="Times New Roman" w:cs="Times New Roman"/>
                <w:b/>
                <w:bCs/>
                <w:color w:val="auto"/>
                <w:sz w:val="21"/>
                <w:szCs w:val="32"/>
                <w:highlight w:val="none"/>
              </w:rPr>
              <w:t>车间，高度为</w:t>
            </w:r>
            <w:r>
              <w:rPr>
                <w:rFonts w:hint="eastAsia" w:ascii="Times New Roman" w:hAnsi="Times New Roman" w:cs="Times New Roman"/>
                <w:b/>
                <w:bCs/>
                <w:color w:val="auto"/>
                <w:sz w:val="21"/>
                <w:szCs w:val="32"/>
                <w:highlight w:val="none"/>
                <w:lang w:val="en-US" w:eastAsia="zh-CN"/>
              </w:rPr>
              <w:t>12</w:t>
            </w:r>
            <w:r>
              <w:rPr>
                <w:rFonts w:ascii="Times New Roman" w:hAnsi="Times New Roman" w:cs="Times New Roman"/>
                <w:b/>
                <w:bCs/>
                <w:color w:val="auto"/>
                <w:sz w:val="21"/>
                <w:szCs w:val="32"/>
                <w:highlight w:val="none"/>
              </w:rPr>
              <w:t>m，本项目排气筒</w:t>
            </w:r>
            <w:r>
              <w:rPr>
                <w:rFonts w:hint="eastAsia" w:ascii="Times New Roman" w:hAnsi="Times New Roman" w:cs="Times New Roman"/>
                <w:b/>
                <w:bCs/>
                <w:color w:val="auto"/>
                <w:sz w:val="21"/>
                <w:szCs w:val="32"/>
                <w:highlight w:val="none"/>
                <w:lang w:val="en-US" w:eastAsia="zh-CN"/>
              </w:rPr>
              <w:t>P1-P5</w:t>
            </w:r>
            <w:r>
              <w:rPr>
                <w:rFonts w:ascii="Times New Roman" w:hAnsi="Times New Roman" w:cs="Times New Roman"/>
                <w:b/>
                <w:bCs/>
                <w:color w:val="auto"/>
                <w:sz w:val="21"/>
                <w:szCs w:val="32"/>
                <w:highlight w:val="none"/>
              </w:rPr>
              <w:t>满足高于周围200m范围内建筑5m以上的规定。</w:t>
            </w:r>
          </w:p>
          <w:p>
            <w:pPr>
              <w:adjustRightInd w:val="0"/>
              <w:snapToGrid w:val="0"/>
              <w:spacing w:line="360" w:lineRule="auto"/>
              <w:ind w:firstLine="482" w:firstLineChars="200"/>
              <w:rPr>
                <w:rFonts w:hint="default" w:ascii="Times New Roman" w:hAnsi="Times New Roman" w:cs="Times New Roman"/>
                <w:b/>
                <w:bCs/>
                <w:color w:val="auto"/>
                <w:highlight w:val="none"/>
              </w:rPr>
            </w:pPr>
          </w:p>
          <w:p>
            <w:pPr>
              <w:adjustRightInd w:val="0"/>
              <w:snapToGrid w:val="0"/>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2、水污染物排放标准</w:t>
            </w:r>
          </w:p>
          <w:p>
            <w:pPr>
              <w:pStyle w:val="67"/>
              <w:adjustRightInd/>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本项目外排废水执行《污水综合排放标准》（DB12/356-2018）三级标准，具体标准值见下表。</w:t>
            </w:r>
          </w:p>
          <w:p>
            <w:pPr>
              <w:pStyle w:val="67"/>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eastAsia"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rPr>
              <w:t xml:space="preserve"> 污水综合排放标准（单位：mg/L，pH除外）</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828"/>
              <w:gridCol w:w="977"/>
              <w:gridCol w:w="997"/>
              <w:gridCol w:w="922"/>
              <w:gridCol w:w="883"/>
              <w:gridCol w:w="791"/>
              <w:gridCol w:w="727"/>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exact"/>
                <w:jc w:val="center"/>
              </w:trPr>
              <w:tc>
                <w:tcPr>
                  <w:tcW w:w="699" w:type="pct"/>
                  <w:vAlign w:val="center"/>
                </w:tcPr>
                <w:p>
                  <w:pPr>
                    <w:pStyle w:val="67"/>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标准类别</w:t>
                  </w:r>
                </w:p>
              </w:tc>
              <w:tc>
                <w:tcPr>
                  <w:tcW w:w="494"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583"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CODcr</w:t>
                  </w:r>
                </w:p>
              </w:tc>
              <w:tc>
                <w:tcPr>
                  <w:tcW w:w="595"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550"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527"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w:t>
                  </w:r>
                </w:p>
              </w:tc>
              <w:tc>
                <w:tcPr>
                  <w:tcW w:w="472"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总磷</w:t>
                  </w:r>
                </w:p>
              </w:tc>
              <w:tc>
                <w:tcPr>
                  <w:tcW w:w="434"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总氮</w:t>
                  </w:r>
                </w:p>
              </w:tc>
              <w:tc>
                <w:tcPr>
                  <w:tcW w:w="643"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699" w:type="pct"/>
                  <w:vAlign w:val="center"/>
                </w:tcPr>
                <w:p>
                  <w:pPr>
                    <w:pStyle w:val="67"/>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w:t>
                  </w:r>
                </w:p>
              </w:tc>
              <w:tc>
                <w:tcPr>
                  <w:tcW w:w="494"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w:t>
                  </w:r>
                </w:p>
              </w:tc>
              <w:tc>
                <w:tcPr>
                  <w:tcW w:w="583"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w:t>
                  </w:r>
                </w:p>
              </w:tc>
              <w:tc>
                <w:tcPr>
                  <w:tcW w:w="595"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c>
                <w:tcPr>
                  <w:tcW w:w="550"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tc>
              <w:tc>
                <w:tcPr>
                  <w:tcW w:w="527"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p>
              </w:tc>
              <w:tc>
                <w:tcPr>
                  <w:tcW w:w="472"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434"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643" w:type="pct"/>
                  <w:vAlign w:val="center"/>
                </w:tcPr>
                <w:p>
                  <w:pPr>
                    <w:pStyle w:val="67"/>
                    <w:adjustRightInd/>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r>
          </w:tbl>
          <w:p>
            <w:pPr>
              <w:adjustRightInd w:val="0"/>
              <w:snapToGrid w:val="0"/>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3、噪声</w:t>
            </w:r>
          </w:p>
          <w:p>
            <w:pPr>
              <w:widowControl/>
              <w:adjustRightInd w:val="0"/>
              <w:snapToGrid w:val="0"/>
              <w:spacing w:line="360" w:lineRule="auto"/>
              <w:ind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施工期噪声执行《建筑施工场界环境噪声排放标准》（GB12523-2011），具体限值见下表。</w:t>
            </w:r>
          </w:p>
          <w:p>
            <w:pPr>
              <w:adjustRightInd w:val="0"/>
              <w:snapToGrid w:val="0"/>
              <w:ind w:firstLine="422" w:firstLineChars="20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eastAsia" w:cs="Times New Roman"/>
                <w:b/>
                <w:bCs/>
                <w:color w:val="auto"/>
                <w:sz w:val="21"/>
                <w:szCs w:val="21"/>
                <w:highlight w:val="none"/>
                <w:lang w:val="en-US" w:eastAsia="zh-CN"/>
              </w:rPr>
              <w:t>10</w:t>
            </w:r>
            <w:r>
              <w:rPr>
                <w:rFonts w:hint="default" w:ascii="Times New Roman" w:hAnsi="Times New Roman" w:cs="Times New Roman"/>
                <w:b/>
                <w:bCs/>
                <w:color w:val="auto"/>
                <w:sz w:val="21"/>
                <w:szCs w:val="21"/>
                <w:highlight w:val="none"/>
              </w:rPr>
              <w:t xml:space="preserve">  建筑施工场界环境噪声排放限值</w:t>
            </w:r>
          </w:p>
          <w:tbl>
            <w:tblPr>
              <w:tblStyle w:val="29"/>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888"/>
              <w:gridCol w:w="44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97" w:hRule="atLeast"/>
                <w:jc w:val="center"/>
              </w:trPr>
              <w:tc>
                <w:tcPr>
                  <w:tcW w:w="2319" w:type="pct"/>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2680" w:type="pct"/>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319" w:type="pct"/>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2680" w:type="pct"/>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bl>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依据《天津市声环境功能区划（2022年修订版）》，本项目位于三类声功能区，故运营期东、南</w:t>
            </w:r>
            <w:r>
              <w:rPr>
                <w:rFonts w:hint="eastAsia" w:cs="Times New Roman"/>
                <w:color w:val="auto"/>
                <w:highlight w:val="none"/>
                <w:lang w:eastAsia="zh-CN"/>
              </w:rPr>
              <w:t>、</w:t>
            </w:r>
            <w:r>
              <w:rPr>
                <w:rFonts w:hint="eastAsia" w:cs="Times New Roman"/>
                <w:color w:val="auto"/>
                <w:highlight w:val="none"/>
                <w:lang w:val="en-US" w:eastAsia="zh-CN"/>
              </w:rPr>
              <w:t>西、北</w:t>
            </w:r>
            <w:r>
              <w:rPr>
                <w:rFonts w:hint="default" w:ascii="Times New Roman" w:hAnsi="Times New Roman" w:cs="Times New Roman"/>
                <w:color w:val="auto"/>
                <w:highlight w:val="none"/>
              </w:rPr>
              <w:t>厂界噪声排放执行</w:t>
            </w:r>
            <w:r>
              <w:rPr>
                <w:rFonts w:hint="eastAsia" w:cs="Times New Roman"/>
                <w:color w:val="auto"/>
                <w:highlight w:val="none"/>
                <w:lang w:eastAsia="zh-CN"/>
              </w:rPr>
              <w:t>GB12348-2008</w:t>
            </w:r>
            <w:r>
              <w:rPr>
                <w:rFonts w:hint="default" w:ascii="Times New Roman" w:hAnsi="Times New Roman" w:cs="Times New Roman"/>
                <w:color w:val="auto"/>
                <w:highlight w:val="none"/>
              </w:rPr>
              <w:t>《工业企业厂界环境噪声排放标准》3类标准，具体标准值见下表。</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default" w:ascii="Times New Roman" w:hAnsi="Times New Roman"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1</w:t>
            </w:r>
            <w:r>
              <w:rPr>
                <w:rFonts w:hint="default" w:ascii="Times New Roman" w:hAnsi="Times New Roman" w:cs="Times New Roman"/>
                <w:b/>
                <w:bCs/>
                <w:color w:val="auto"/>
                <w:sz w:val="21"/>
                <w:szCs w:val="21"/>
                <w:highlight w:val="none"/>
              </w:rPr>
              <w:t xml:space="preserve">  噪声排放标准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304"/>
              <w:gridCol w:w="2387"/>
              <w:gridCol w:w="2387"/>
              <w:gridCol w:w="2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519" w:hRule="atLeast"/>
                <w:jc w:val="center"/>
              </w:trPr>
              <w:tc>
                <w:tcPr>
                  <w:tcW w:w="1304" w:type="dxa"/>
                  <w:tcBorders>
                    <w:tl2br w:val="single" w:color="auto" w:sz="4" w:space="0"/>
                  </w:tcBorders>
                </w:tcPr>
                <w:p>
                  <w:pPr>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时间</w:t>
                  </w:r>
                </w:p>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标准类别</w:t>
                  </w:r>
                </w:p>
              </w:tc>
              <w:tc>
                <w:tcPr>
                  <w:tcW w:w="2387"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昼间dB(A)</w:t>
                  </w:r>
                </w:p>
              </w:tc>
              <w:tc>
                <w:tcPr>
                  <w:tcW w:w="2387" w:type="dxa"/>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夜</w:t>
                  </w:r>
                  <w:r>
                    <w:rPr>
                      <w:rFonts w:hint="default" w:ascii="Times New Roman" w:hAnsi="Times New Roman" w:cs="Times New Roman"/>
                      <w:color w:val="auto"/>
                      <w:sz w:val="21"/>
                      <w:szCs w:val="21"/>
                      <w:highlight w:val="none"/>
                    </w:rPr>
                    <w:t>间dB(A)</w:t>
                  </w:r>
                </w:p>
              </w:tc>
              <w:tc>
                <w:tcPr>
                  <w:tcW w:w="2299"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1304"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3类</w:t>
                  </w:r>
                </w:p>
              </w:tc>
              <w:tc>
                <w:tcPr>
                  <w:tcW w:w="2387"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238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w:t>
                  </w:r>
                </w:p>
              </w:tc>
              <w:tc>
                <w:tcPr>
                  <w:tcW w:w="2299"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东、南</w:t>
                  </w:r>
                  <w:r>
                    <w:rPr>
                      <w:rFonts w:hint="eastAsia" w:cs="Times New Roman"/>
                      <w:color w:val="auto"/>
                      <w:sz w:val="21"/>
                      <w:szCs w:val="21"/>
                      <w:highlight w:val="none"/>
                      <w:lang w:val="en-US" w:eastAsia="zh-CN"/>
                    </w:rPr>
                    <w:t>、西、北</w:t>
                  </w:r>
                  <w:r>
                    <w:rPr>
                      <w:rFonts w:hint="default" w:ascii="Times New Roman" w:hAnsi="Times New Roman" w:cs="Times New Roman"/>
                      <w:color w:val="auto"/>
                      <w:sz w:val="21"/>
                      <w:szCs w:val="21"/>
                      <w:highlight w:val="none"/>
                    </w:rPr>
                    <w:t>厂界</w:t>
                  </w:r>
                </w:p>
              </w:tc>
            </w:tr>
          </w:tbl>
          <w:p>
            <w:pPr>
              <w:autoSpaceDE w:val="0"/>
              <w:autoSpaceDN w:val="0"/>
              <w:adjustRightInd w:val="0"/>
              <w:snapToGrid w:val="0"/>
              <w:spacing w:line="360" w:lineRule="auto"/>
              <w:ind w:firstLine="482" w:firstLineChars="20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4、固体废物</w:t>
            </w:r>
          </w:p>
          <w:p>
            <w:pPr>
              <w:widowControl/>
              <w:adjustRightInd w:val="0"/>
              <w:snapToGrid w:val="0"/>
              <w:spacing w:line="360" w:lineRule="auto"/>
              <w:ind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本项目产生的一般固体废弃物执行《一般工业固体废物贮存和填埋污染控制标准》（GB18599-2020）</w:t>
            </w:r>
            <w:r>
              <w:rPr>
                <w:rFonts w:hint="default" w:ascii="Times New Roman" w:hAnsi="Times New Roman" w:cs="Times New Roman"/>
                <w:color w:val="auto"/>
                <w:highlight w:val="none"/>
                <w:lang w:val="en-GB"/>
              </w:rPr>
              <w:t>；</w:t>
            </w:r>
          </w:p>
          <w:p>
            <w:pPr>
              <w:widowControl/>
              <w:adjustRightInd w:val="0"/>
              <w:snapToGrid w:val="0"/>
              <w:spacing w:line="360" w:lineRule="auto"/>
              <w:ind w:firstLine="480" w:firstLineChars="200"/>
              <w:jc w:val="left"/>
              <w:rPr>
                <w:rFonts w:hint="default" w:ascii="Times New Roman" w:hAnsi="Times New Roman" w:cs="Times New Roman"/>
                <w:color w:val="auto"/>
                <w:highlight w:val="none"/>
                <w:lang w:val="en-GB"/>
              </w:rPr>
            </w:pPr>
            <w:r>
              <w:rPr>
                <w:rFonts w:hint="default" w:ascii="Times New Roman" w:hAnsi="Times New Roman" w:cs="Times New Roman"/>
                <w:color w:val="auto"/>
                <w:highlight w:val="none"/>
              </w:rPr>
              <w:t>生活垃圾执行《天津市生活废弃物管理规定》</w:t>
            </w:r>
            <w:r>
              <w:rPr>
                <w:rFonts w:hint="default" w:ascii="Times New Roman" w:hAnsi="Times New Roman" w:cs="Times New Roman"/>
                <w:color w:val="auto"/>
                <w:highlight w:val="none"/>
                <w:lang w:val="zh-CN"/>
              </w:rPr>
              <w:t>（津政令第29号）</w:t>
            </w:r>
            <w:r>
              <w:rPr>
                <w:rFonts w:hint="default" w:ascii="Times New Roman" w:hAnsi="Times New Roman" w:cs="Times New Roman"/>
                <w:color w:val="auto"/>
                <w:highlight w:val="none"/>
              </w:rPr>
              <w:t>、《天津市生活垃圾管理条例》</w:t>
            </w:r>
            <w:r>
              <w:rPr>
                <w:rFonts w:hint="default" w:ascii="Times New Roman" w:hAnsi="Times New Roman" w:cs="Times New Roman"/>
                <w:color w:val="auto"/>
                <w:highlight w:val="none"/>
                <w:lang w:val="en-GB"/>
              </w:rPr>
              <w:t>；</w:t>
            </w:r>
          </w:p>
          <w:p>
            <w:pPr>
              <w:widowControl/>
              <w:adjustRightInd w:val="0"/>
              <w:snapToGrid w:val="0"/>
              <w:spacing w:line="360" w:lineRule="auto"/>
              <w:ind w:firstLine="480" w:firstLineChars="200"/>
              <w:jc w:val="left"/>
              <w:rPr>
                <w:rFonts w:hint="default"/>
                <w:color w:val="auto"/>
                <w:highlight w:val="none"/>
              </w:rPr>
            </w:pPr>
            <w:r>
              <w:rPr>
                <w:rFonts w:hint="default" w:ascii="Times New Roman" w:hAnsi="Times New Roman" w:cs="Times New Roman"/>
                <w:color w:val="auto"/>
                <w:highlight w:val="none"/>
              </w:rPr>
              <w:t>危险废物执行《危险废物贮存污染控制标准》（GB18597-2023），《危险废物收集、贮存、运输技术规范》（HJ2025-2012）。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总量</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控制</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指标</w:t>
            </w:r>
          </w:p>
        </w:tc>
        <w:tc>
          <w:tcPr>
            <w:tcW w:w="8605" w:type="dxa"/>
          </w:tcPr>
          <w:p>
            <w:pPr>
              <w:widowControl/>
              <w:spacing w:line="360" w:lineRule="auto"/>
              <w:ind w:firstLine="480" w:firstLineChars="200"/>
              <w:jc w:val="left"/>
              <w:rPr>
                <w:rFonts w:hint="default" w:ascii="Times New Roman" w:hAnsi="Times New Roman" w:cs="Times New Roman"/>
                <w:color w:val="auto"/>
                <w:highlight w:val="none"/>
              </w:rPr>
            </w:pPr>
            <w:bookmarkStart w:id="3" w:name="_Hlk47102536"/>
            <w:r>
              <w:rPr>
                <w:rFonts w:hint="default" w:ascii="Times New Roman" w:hAnsi="Times New Roman" w:cs="Times New Roman"/>
                <w:color w:val="auto"/>
                <w:highlight w:val="none"/>
              </w:rPr>
              <w:t>污染物总量控制是以环境质量目标为基本依据，对区域内各污染源的污染物的排放总量实施控制的管理制度。</w:t>
            </w:r>
          </w:p>
          <w:p>
            <w:pPr>
              <w:adjustRightInd w:val="0"/>
              <w:snapToGrid w:val="0"/>
              <w:spacing w:line="356" w:lineRule="auto"/>
              <w:ind w:firstLine="480" w:firstLineChars="200"/>
              <w:rPr>
                <w:rFonts w:hint="default" w:ascii="Times New Roman" w:hAnsi="Times New Roman" w:cs="Times New Roman"/>
                <w:color w:val="auto"/>
                <w:szCs w:val="21"/>
                <w:highlight w:val="none"/>
              </w:rPr>
            </w:pPr>
            <w:r>
              <w:rPr>
                <w:rFonts w:hint="default" w:ascii="Times New Roman" w:hAnsi="Times New Roman" w:cs="Times New Roman"/>
                <w:bCs/>
                <w:color w:val="auto"/>
                <w:highlight w:val="none"/>
                <w:lang w:val="zh-CN"/>
              </w:rPr>
              <w:t>根据</w:t>
            </w:r>
            <w:r>
              <w:rPr>
                <w:rFonts w:hint="default" w:ascii="Times New Roman" w:hAnsi="Times New Roman" w:cs="Times New Roman" w:eastAsiaTheme="majorEastAsia"/>
                <w:bCs/>
                <w:color w:val="auto"/>
                <w:highlight w:val="none"/>
                <w:lang w:val="zh-CN"/>
              </w:rPr>
              <w:t>“天津市人民政府办公厅关于印发天津市重点污染物排放总量控制管理办法（试行）的通知”</w:t>
            </w:r>
            <w:r>
              <w:rPr>
                <w:rFonts w:hint="default" w:ascii="Times New Roman" w:hAnsi="Times New Roman" w:cs="Times New Roman"/>
                <w:bCs/>
                <w:color w:val="auto"/>
                <w:highlight w:val="none"/>
                <w:lang w:val="zh-CN"/>
              </w:rPr>
              <w:t>（津政办规〔2023〕1号）</w:t>
            </w:r>
            <w:r>
              <w:rPr>
                <w:rFonts w:hint="default" w:ascii="Times New Roman" w:hAnsi="Times New Roman" w:cs="Times New Roman"/>
                <w:bCs/>
                <w:color w:val="auto"/>
                <w:highlight w:val="none"/>
              </w:rPr>
              <w:t>要求，</w:t>
            </w:r>
            <w:bookmarkEnd w:id="3"/>
            <w:r>
              <w:rPr>
                <w:rFonts w:hint="default" w:ascii="Times New Roman" w:hAnsi="Times New Roman" w:cs="Times New Roman"/>
                <w:color w:val="auto"/>
                <w:szCs w:val="21"/>
                <w:highlight w:val="none"/>
              </w:rPr>
              <w:t>企业废气总量控制特征因子为：VOCs，废水总量控制因子为：COD</w:t>
            </w:r>
            <w:r>
              <w:rPr>
                <w:rFonts w:hint="eastAsia"/>
                <w:color w:val="auto"/>
                <w:highlight w:val="none"/>
                <w:lang w:val="en-US" w:eastAsia="zh-CN"/>
              </w:rPr>
              <w:t>cr</w:t>
            </w:r>
            <w:r>
              <w:rPr>
                <w:rFonts w:hint="default" w:ascii="Times New Roman" w:hAnsi="Times New Roman" w:cs="Times New Roman"/>
                <w:color w:val="auto"/>
                <w:szCs w:val="21"/>
                <w:highlight w:val="none"/>
              </w:rPr>
              <w:t>、氨氮。</w:t>
            </w:r>
          </w:p>
          <w:p>
            <w:pPr>
              <w:widowControl/>
              <w:adjustRightInd w:val="0"/>
              <w:snapToGrid w:val="0"/>
              <w:spacing w:line="360" w:lineRule="auto"/>
              <w:ind w:firstLine="478" w:firstLineChars="200"/>
              <w:jc w:val="left"/>
              <w:rPr>
                <w:rFonts w:hint="default" w:ascii="Times New Roman" w:hAnsi="Times New Roman" w:cs="Times New Roman"/>
                <w:b/>
                <w:bCs/>
                <w:color w:val="auto"/>
                <w:spacing w:val="-1"/>
                <w:highlight w:val="none"/>
              </w:rPr>
            </w:pPr>
            <w:r>
              <w:rPr>
                <w:rFonts w:hint="default" w:ascii="Times New Roman" w:hAnsi="Times New Roman" w:cs="Times New Roman"/>
                <w:b/>
                <w:bCs/>
                <w:color w:val="auto"/>
                <w:spacing w:val="-1"/>
                <w:highlight w:val="none"/>
              </w:rPr>
              <w:t>1、废气总量</w:t>
            </w:r>
          </w:p>
          <w:p>
            <w:pPr>
              <w:widowControl/>
              <w:spacing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（1）VOCs</w:t>
            </w:r>
          </w:p>
          <w:p>
            <w:pPr>
              <w:widowControl/>
              <w:spacing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由工程分可知</w:t>
            </w:r>
            <w:r>
              <w:rPr>
                <w:rFonts w:hint="eastAsia" w:cs="Times New Roman"/>
                <w:color w:val="auto"/>
                <w:szCs w:val="24"/>
                <w:highlight w:val="none"/>
                <w:lang w:eastAsia="zh-CN"/>
              </w:rPr>
              <w:t>，</w:t>
            </w:r>
            <w:r>
              <w:rPr>
                <w:rFonts w:hint="eastAsia" w:cs="Times New Roman"/>
                <w:color w:val="auto"/>
                <w:szCs w:val="24"/>
                <w:highlight w:val="none"/>
                <w:lang w:val="en-US" w:eastAsia="zh-CN"/>
              </w:rPr>
              <w:t>油性漆使用</w:t>
            </w:r>
            <w:r>
              <w:rPr>
                <w:rFonts w:hint="default" w:ascii="Times New Roman" w:hAnsi="Times New Roman" w:cs="Times New Roman"/>
                <w:color w:val="auto"/>
                <w:szCs w:val="24"/>
                <w:highlight w:val="none"/>
              </w:rPr>
              <w:t>过程VOCs产生量为</w:t>
            </w:r>
            <w:r>
              <w:rPr>
                <w:rFonts w:hint="eastAsia" w:cs="Times New Roman"/>
                <w:color w:val="auto"/>
                <w:szCs w:val="24"/>
                <w:highlight w:val="none"/>
                <w:lang w:val="en-US" w:eastAsia="zh-CN"/>
              </w:rPr>
              <w:t>2.869</w:t>
            </w:r>
            <w:r>
              <w:rPr>
                <w:rFonts w:hint="default" w:ascii="Times New Roman" w:hAnsi="Times New Roman" w:cs="Times New Roman"/>
                <w:color w:val="auto"/>
                <w:szCs w:val="24"/>
                <w:highlight w:val="none"/>
              </w:rPr>
              <w:t>t/a，</w:t>
            </w:r>
            <w:r>
              <w:rPr>
                <w:rFonts w:hint="eastAsia" w:cs="Times New Roman"/>
                <w:color w:val="auto"/>
                <w:szCs w:val="24"/>
                <w:highlight w:val="none"/>
                <w:lang w:val="en-US" w:eastAsia="zh-CN"/>
              </w:rPr>
              <w:t>水性漆使用过程</w:t>
            </w:r>
            <w:r>
              <w:rPr>
                <w:rFonts w:hint="default" w:ascii="Times New Roman" w:hAnsi="Times New Roman" w:cs="Times New Roman"/>
                <w:color w:val="auto"/>
                <w:szCs w:val="24"/>
                <w:highlight w:val="none"/>
              </w:rPr>
              <w:t>VOCs产生量为</w:t>
            </w:r>
            <w:r>
              <w:rPr>
                <w:rFonts w:hint="eastAsia" w:cs="Times New Roman"/>
                <w:color w:val="auto"/>
                <w:szCs w:val="24"/>
                <w:highlight w:val="none"/>
                <w:lang w:val="en-US" w:eastAsia="zh-CN"/>
              </w:rPr>
              <w:t>1.26</w:t>
            </w:r>
            <w:r>
              <w:rPr>
                <w:rFonts w:hint="default" w:ascii="Times New Roman" w:hAnsi="Times New Roman" w:cs="Times New Roman"/>
                <w:color w:val="auto"/>
                <w:szCs w:val="24"/>
                <w:highlight w:val="none"/>
              </w:rPr>
              <w:t>t/a，废气收集效率为</w:t>
            </w:r>
            <w:r>
              <w:rPr>
                <w:rFonts w:hint="eastAsia" w:cs="Times New Roman"/>
                <w:color w:val="auto"/>
                <w:szCs w:val="24"/>
                <w:highlight w:val="none"/>
                <w:lang w:val="en-US" w:eastAsia="zh-CN"/>
              </w:rPr>
              <w:t>97</w:t>
            </w:r>
            <w:r>
              <w:rPr>
                <w:rFonts w:hint="default" w:ascii="Times New Roman" w:hAnsi="Times New Roman" w:cs="Times New Roman"/>
                <w:color w:val="auto"/>
                <w:szCs w:val="24"/>
                <w:highlight w:val="none"/>
              </w:rPr>
              <w:t>%</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经</w:t>
            </w:r>
            <w:r>
              <w:rPr>
                <w:rFonts w:hint="eastAsia" w:cs="Times New Roman" w:eastAsiaTheme="minorEastAsia"/>
                <w:color w:val="auto"/>
                <w:szCs w:val="24"/>
                <w:highlight w:val="none"/>
                <w:lang w:val="en-US" w:eastAsia="zh-CN"/>
              </w:rPr>
              <w:t>水帘+</w:t>
            </w:r>
            <w:r>
              <w:rPr>
                <w:rFonts w:hint="default" w:ascii="Times New Roman" w:hAnsi="Times New Roman" w:cs="Times New Roman" w:eastAsiaTheme="minorEastAsia"/>
                <w:color w:val="auto"/>
                <w:szCs w:val="24"/>
                <w:highlight w:val="none"/>
              </w:rPr>
              <w:t>干式过滤</w:t>
            </w:r>
            <w:r>
              <w:rPr>
                <w:rFonts w:hint="eastAsia" w:cs="Times New Roman" w:eastAsiaTheme="minorEastAsia"/>
                <w:color w:val="auto"/>
                <w:szCs w:val="24"/>
                <w:highlight w:val="none"/>
                <w:lang w:val="en-US" w:eastAsia="zh-CN"/>
              </w:rPr>
              <w:t>棉</w:t>
            </w:r>
            <w:r>
              <w:rPr>
                <w:rFonts w:hint="default" w:ascii="Times New Roman" w:hAnsi="Times New Roman" w:cs="Times New Roman" w:eastAsiaTheme="minorEastAsia"/>
                <w:color w:val="auto"/>
                <w:szCs w:val="24"/>
                <w:highlight w:val="none"/>
              </w:rPr>
              <w:t>+</w:t>
            </w:r>
            <w:r>
              <w:rPr>
                <w:rFonts w:hint="eastAsia" w:cs="Times New Roman" w:eastAsiaTheme="minorEastAsia"/>
                <w:color w:val="auto"/>
                <w:szCs w:val="24"/>
                <w:highlight w:val="none"/>
                <w:lang w:eastAsia="zh-CN"/>
              </w:rPr>
              <w:t>活性炭吸附、脱附催化燃烧</w:t>
            </w:r>
            <w:r>
              <w:rPr>
                <w:rFonts w:hint="default" w:ascii="Times New Roman" w:hAnsi="Times New Roman" w:cs="Times New Roman" w:eastAsiaTheme="minorEastAsia"/>
                <w:color w:val="auto"/>
                <w:szCs w:val="24"/>
                <w:highlight w:val="none"/>
              </w:rPr>
              <w:t>装置</w:t>
            </w:r>
            <w:r>
              <w:rPr>
                <w:rFonts w:hint="default" w:ascii="Times New Roman" w:hAnsi="Times New Roman" w:cs="Times New Roman"/>
                <w:color w:val="auto"/>
                <w:szCs w:val="24"/>
                <w:highlight w:val="none"/>
              </w:rPr>
              <w:t>进行处理，活性炭吸附净化效率为85%，脱附催化燃烧净化效率为97%，处理后的废气通过15m高排气筒P</w:t>
            </w:r>
            <w:r>
              <w:rPr>
                <w:rFonts w:hint="eastAsia" w:cs="Times New Roman"/>
                <w:color w:val="auto"/>
                <w:szCs w:val="24"/>
                <w:highlight w:val="none"/>
                <w:lang w:val="en-US" w:eastAsia="zh-CN"/>
              </w:rPr>
              <w:t>6</w:t>
            </w:r>
            <w:r>
              <w:rPr>
                <w:rFonts w:hint="default" w:ascii="Times New Roman" w:hAnsi="Times New Roman" w:cs="Times New Roman"/>
                <w:color w:val="auto"/>
                <w:szCs w:val="24"/>
                <w:highlight w:val="none"/>
              </w:rPr>
              <w:t>有组织排放，环保设施配套风机风量均为</w:t>
            </w:r>
            <w:r>
              <w:rPr>
                <w:rFonts w:hint="eastAsia" w:cs="Times New Roman"/>
                <w:color w:val="auto"/>
                <w:szCs w:val="24"/>
                <w:highlight w:val="none"/>
                <w:lang w:val="en-US" w:eastAsia="zh-CN"/>
              </w:rPr>
              <w:t>30</w:t>
            </w:r>
            <w:r>
              <w:rPr>
                <w:rFonts w:hint="default" w:ascii="Times New Roman" w:hAnsi="Times New Roman" w:cs="Times New Roman"/>
                <w:color w:val="auto"/>
                <w:szCs w:val="24"/>
                <w:highlight w:val="none"/>
              </w:rPr>
              <w:t>000m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/h。</w:t>
            </w:r>
          </w:p>
          <w:p>
            <w:pPr>
              <w:widowControl/>
              <w:adjustRightInd w:val="0"/>
              <w:snapToGrid w:val="0"/>
              <w:spacing w:line="360" w:lineRule="auto"/>
              <w:ind w:firstLine="480" w:firstLineChars="200"/>
              <w:jc w:val="left"/>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VOCs预测排放量：（</w:t>
            </w:r>
            <w:r>
              <w:rPr>
                <w:rFonts w:hint="eastAsia" w:cs="Times New Roman"/>
                <w:color w:val="auto"/>
                <w:szCs w:val="24"/>
                <w:highlight w:val="none"/>
                <w:lang w:val="en-US" w:eastAsia="zh-CN"/>
              </w:rPr>
              <w:t>2.869</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1.26</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t/a</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97</w:t>
            </w:r>
            <w:r>
              <w:rPr>
                <w:rFonts w:hint="default" w:ascii="Times New Roman" w:hAnsi="Times New Roman" w:cs="Times New Roman"/>
                <w:color w:val="auto"/>
                <w:szCs w:val="24"/>
                <w:highlight w:val="none"/>
              </w:rPr>
              <w:t>%×（1-85%）</w:t>
            </w:r>
            <w:r>
              <w:rPr>
                <w:rFonts w:hint="eastAsia" w:cs="Times New Roman"/>
                <w:color w:val="auto"/>
                <w:szCs w:val="24"/>
                <w:highlight w:val="none"/>
                <w:lang w:val="en-US" w:eastAsia="zh-CN"/>
              </w:rPr>
              <w:t>+</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2.869</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1.26</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t/a</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97</w:t>
            </w: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×85%×（1-97%）</w:t>
            </w:r>
            <w:r>
              <w:rPr>
                <w:rFonts w:hint="default" w:ascii="Times New Roman" w:hAnsi="Times New Roman" w:cs="Times New Roman"/>
                <w:color w:val="auto"/>
                <w:szCs w:val="24"/>
                <w:highlight w:val="none"/>
              </w:rPr>
              <w:t>=0.</w:t>
            </w:r>
            <w:r>
              <w:rPr>
                <w:rFonts w:hint="eastAsia" w:cs="Times New Roman"/>
                <w:color w:val="auto"/>
                <w:szCs w:val="24"/>
                <w:highlight w:val="none"/>
                <w:lang w:val="en-US" w:eastAsia="zh-CN"/>
              </w:rPr>
              <w:t>703</w:t>
            </w:r>
            <w:r>
              <w:rPr>
                <w:rFonts w:hint="default" w:ascii="Times New Roman" w:hAnsi="Times New Roman" w:cs="Times New Roman"/>
                <w:color w:val="auto"/>
                <w:szCs w:val="24"/>
                <w:highlight w:val="none"/>
              </w:rPr>
              <w:t>t/a。</w:t>
            </w:r>
          </w:p>
          <w:p>
            <w:pPr>
              <w:adjustRightInd w:val="0"/>
              <w:snapToGrid w:val="0"/>
              <w:spacing w:line="360" w:lineRule="auto"/>
              <w:ind w:firstLine="482"/>
              <w:jc w:val="left"/>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2"/>
                <w:highlight w:val="none"/>
              </w:rPr>
              <w:t>本项目排气筒P</w:t>
            </w:r>
            <w:r>
              <w:rPr>
                <w:rFonts w:hint="eastAsia" w:cs="Times New Roman"/>
                <w:color w:val="auto"/>
                <w:szCs w:val="22"/>
                <w:highlight w:val="none"/>
                <w:lang w:val="en-US" w:eastAsia="zh-CN"/>
              </w:rPr>
              <w:t>6</w:t>
            </w:r>
            <w:r>
              <w:rPr>
                <w:rFonts w:hint="default" w:ascii="Times New Roman" w:hAnsi="Times New Roman" w:cs="Times New Roman"/>
                <w:color w:val="auto"/>
                <w:szCs w:val="22"/>
                <w:highlight w:val="none"/>
              </w:rPr>
              <w:t>排放的有机废气执行</w:t>
            </w:r>
            <w:r>
              <w:rPr>
                <w:rFonts w:hint="default" w:ascii="Times New Roman" w:hAnsi="Times New Roman" w:cs="Times New Roman"/>
                <w:color w:val="auto"/>
                <w:szCs w:val="24"/>
                <w:highlight w:val="none"/>
              </w:rPr>
              <w:t>《工业企业挥发性有机物排放控制标准》（DB12/524-2020）表1“表面涂装”行业相关标准限值要求</w:t>
            </w:r>
            <w:r>
              <w:rPr>
                <w:rFonts w:hint="default" w:ascii="Times New Roman" w:hAnsi="Times New Roman" w:cs="Times New Roman"/>
                <w:color w:val="auto"/>
                <w:szCs w:val="24"/>
                <w:highlight w:val="none"/>
                <w:lang w:bidi="ar"/>
              </w:rPr>
              <w:t>，TRVOC最高允许排放速率为1.5kg/h，最高允许排放浓度为</w:t>
            </w:r>
            <w:r>
              <w:rPr>
                <w:rFonts w:hint="eastAsia" w:cs="Times New Roman"/>
                <w:color w:val="auto"/>
                <w:szCs w:val="24"/>
                <w:highlight w:val="none"/>
                <w:lang w:val="en-US" w:eastAsia="zh-CN" w:bidi="ar"/>
              </w:rPr>
              <w:t>5</w:t>
            </w:r>
            <w:r>
              <w:rPr>
                <w:rFonts w:hint="default" w:ascii="Times New Roman" w:hAnsi="Times New Roman" w:cs="Times New Roman"/>
                <w:color w:val="auto"/>
                <w:szCs w:val="24"/>
                <w:highlight w:val="none"/>
                <w:lang w:bidi="ar"/>
              </w:rPr>
              <w:t>0mg/m³。</w:t>
            </w:r>
          </w:p>
          <w:p>
            <w:pPr>
              <w:adjustRightInd w:val="0"/>
              <w:snapToGrid w:val="0"/>
              <w:spacing w:line="360" w:lineRule="auto"/>
              <w:ind w:firstLine="482"/>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依据排放速率标准</w:t>
            </w:r>
            <w:r>
              <w:rPr>
                <w:rFonts w:hint="eastAsia" w:cs="Times New Roman"/>
                <w:color w:val="auto"/>
                <w:highlight w:val="none"/>
                <w:lang w:val="en-US" w:eastAsia="zh-CN" w:bidi="ar"/>
              </w:rPr>
              <w:t>核定</w:t>
            </w:r>
            <w:r>
              <w:rPr>
                <w:rFonts w:hint="default" w:ascii="Times New Roman" w:hAnsi="Times New Roman" w:cs="Times New Roman"/>
                <w:color w:val="auto"/>
                <w:highlight w:val="none"/>
                <w:lang w:bidi="ar"/>
              </w:rPr>
              <w:t>VOCs排放量=</w:t>
            </w:r>
            <w:r>
              <w:rPr>
                <w:rFonts w:hint="default" w:ascii="Times New Roman" w:hAnsi="Times New Roman" w:cs="Times New Roman"/>
                <w:color w:val="auto"/>
                <w:szCs w:val="24"/>
                <w:highlight w:val="none"/>
                <w:lang w:bidi="ar"/>
              </w:rPr>
              <w:t>1.5kg/h</w:t>
            </w:r>
            <w:r>
              <w:rPr>
                <w:rFonts w:hint="default" w:ascii="Times New Roman" w:hAnsi="Times New Roman" w:eastAsia="Wingdings 2" w:cs="Times New Roman"/>
                <w:color w:val="auto"/>
                <w:szCs w:val="24"/>
                <w:highlight w:val="none"/>
                <w:lang w:bidi="ar"/>
              </w:rPr>
              <w:sym w:font="Wingdings 2" w:char="00CD"/>
            </w:r>
            <w:r>
              <w:rPr>
                <w:rFonts w:hint="eastAsia" w:cs="Times New Roman"/>
                <w:color w:val="auto"/>
                <w:szCs w:val="24"/>
                <w:highlight w:val="none"/>
                <w:lang w:val="en-US" w:eastAsia="zh-CN" w:bidi="ar"/>
              </w:rPr>
              <w:t>（1200+3600）</w:t>
            </w:r>
            <w:r>
              <w:rPr>
                <w:rFonts w:hint="default" w:ascii="Times New Roman" w:hAnsi="Times New Roman" w:cs="Times New Roman"/>
                <w:color w:val="auto"/>
                <w:szCs w:val="24"/>
                <w:highlight w:val="none"/>
                <w:lang w:bidi="ar"/>
              </w:rPr>
              <w:t>h/a</w:t>
            </w:r>
            <w:r>
              <w:rPr>
                <w:rFonts w:hint="default" w:ascii="Times New Roman" w:hAnsi="Times New Roman" w:eastAsia="Wingdings 2" w:cs="Times New Roman"/>
                <w:color w:val="auto"/>
                <w:szCs w:val="24"/>
                <w:highlight w:val="none"/>
                <w:lang w:bidi="ar"/>
              </w:rPr>
              <w:sym w:font="Wingdings 2" w:char="00CD"/>
            </w:r>
            <w:r>
              <w:rPr>
                <w:rFonts w:hint="default" w:ascii="Times New Roman" w:hAnsi="Times New Roman" w:cs="Times New Roman"/>
                <w:color w:val="auto"/>
                <w:szCs w:val="24"/>
                <w:highlight w:val="none"/>
                <w:lang w:bidi="ar"/>
              </w:rPr>
              <w:t>10</w:t>
            </w:r>
            <w:r>
              <w:rPr>
                <w:rFonts w:hint="default" w:ascii="Times New Roman" w:hAnsi="Times New Roman" w:cs="Times New Roman"/>
                <w:color w:val="auto"/>
                <w:szCs w:val="24"/>
                <w:highlight w:val="none"/>
                <w:vertAlign w:val="superscript"/>
                <w:lang w:bidi="ar"/>
              </w:rPr>
              <w:t>-3</w:t>
            </w:r>
            <w:r>
              <w:rPr>
                <w:rFonts w:hint="default" w:ascii="Times New Roman" w:hAnsi="Times New Roman" w:cs="Times New Roman"/>
                <w:color w:val="auto"/>
                <w:szCs w:val="24"/>
                <w:highlight w:val="none"/>
                <w:lang w:bidi="ar"/>
              </w:rPr>
              <w:t>=</w:t>
            </w:r>
            <w:r>
              <w:rPr>
                <w:rFonts w:hint="eastAsia" w:cs="Times New Roman"/>
                <w:color w:val="auto"/>
                <w:szCs w:val="24"/>
                <w:highlight w:val="none"/>
                <w:lang w:val="en-US" w:eastAsia="zh-CN" w:bidi="ar"/>
              </w:rPr>
              <w:t>7.2</w:t>
            </w:r>
            <w:r>
              <w:rPr>
                <w:rFonts w:hint="default" w:ascii="Times New Roman" w:hAnsi="Times New Roman" w:cs="Times New Roman"/>
                <w:color w:val="auto"/>
                <w:highlight w:val="none"/>
                <w:lang w:bidi="ar"/>
              </w:rPr>
              <w:t>t/a</w:t>
            </w:r>
          </w:p>
          <w:p>
            <w:pPr>
              <w:adjustRightInd w:val="0"/>
              <w:snapToGrid w:val="0"/>
              <w:spacing w:line="360" w:lineRule="auto"/>
              <w:ind w:firstLine="482"/>
              <w:jc w:val="left"/>
              <w:rPr>
                <w:rFonts w:hint="default" w:ascii="Times New Roman" w:hAnsi="Times New Roman" w:cs="Times New Roman"/>
                <w:color w:val="auto"/>
                <w:highlight w:val="none"/>
                <w:lang w:bidi="ar"/>
              </w:rPr>
            </w:pPr>
            <w:r>
              <w:rPr>
                <w:rFonts w:hint="default" w:ascii="Times New Roman" w:hAnsi="Times New Roman" w:cs="Times New Roman"/>
                <w:color w:val="auto"/>
                <w:highlight w:val="none"/>
                <w:lang w:bidi="ar"/>
              </w:rPr>
              <w:t>依据排放浓度标准</w:t>
            </w:r>
            <w:r>
              <w:rPr>
                <w:rFonts w:hint="eastAsia" w:cs="Times New Roman"/>
                <w:color w:val="auto"/>
                <w:highlight w:val="none"/>
                <w:lang w:val="en-US" w:eastAsia="zh-CN" w:bidi="ar"/>
              </w:rPr>
              <w:t>核定</w:t>
            </w:r>
            <w:r>
              <w:rPr>
                <w:rFonts w:hint="default" w:ascii="Times New Roman" w:hAnsi="Times New Roman" w:cs="Times New Roman"/>
                <w:color w:val="auto"/>
                <w:highlight w:val="none"/>
                <w:lang w:bidi="ar"/>
              </w:rPr>
              <w:t>VOCs排放量=</w:t>
            </w:r>
            <w:r>
              <w:rPr>
                <w:rFonts w:hint="eastAsia" w:cs="Times New Roman"/>
                <w:color w:val="auto"/>
                <w:szCs w:val="24"/>
                <w:highlight w:val="none"/>
                <w:lang w:val="en-US" w:eastAsia="zh-CN" w:bidi="ar"/>
              </w:rPr>
              <w:t>50</w:t>
            </w:r>
            <w:r>
              <w:rPr>
                <w:rFonts w:hint="default" w:ascii="Times New Roman" w:hAnsi="Times New Roman" w:cs="Times New Roman"/>
                <w:color w:val="auto"/>
                <w:szCs w:val="24"/>
                <w:highlight w:val="none"/>
                <w:lang w:bidi="ar"/>
              </w:rPr>
              <w:t>mg/m³</w:t>
            </w:r>
            <w:r>
              <w:rPr>
                <w:rFonts w:hint="default" w:ascii="Times New Roman" w:hAnsi="Times New Roman" w:eastAsia="Wingdings 2" w:cs="Times New Roman"/>
                <w:color w:val="auto"/>
                <w:szCs w:val="24"/>
                <w:highlight w:val="none"/>
                <w:lang w:bidi="ar"/>
              </w:rPr>
              <w:sym w:font="Wingdings 2" w:char="00CD"/>
            </w:r>
            <w:r>
              <w:rPr>
                <w:rFonts w:hint="eastAsia" w:eastAsia="宋体" w:cs="Times New Roman"/>
                <w:color w:val="auto"/>
                <w:szCs w:val="24"/>
                <w:highlight w:val="none"/>
                <w:lang w:val="en-US" w:eastAsia="zh-CN" w:bidi="ar"/>
              </w:rPr>
              <w:t>30</w:t>
            </w:r>
            <w:r>
              <w:rPr>
                <w:rFonts w:hint="default" w:ascii="Times New Roman" w:hAnsi="Times New Roman" w:cs="Times New Roman"/>
                <w:color w:val="auto"/>
                <w:szCs w:val="24"/>
                <w:highlight w:val="none"/>
                <w:lang w:bidi="ar"/>
              </w:rPr>
              <w:t>000m³/h</w:t>
            </w:r>
            <w:r>
              <w:rPr>
                <w:rFonts w:hint="default" w:ascii="Times New Roman" w:hAnsi="Times New Roman" w:eastAsia="Wingdings 2" w:cs="Times New Roman"/>
                <w:color w:val="auto"/>
                <w:szCs w:val="24"/>
                <w:highlight w:val="none"/>
                <w:lang w:bidi="ar"/>
              </w:rPr>
              <w:sym w:font="Wingdings 2" w:char="00CD"/>
            </w:r>
            <w:r>
              <w:rPr>
                <w:rFonts w:hint="eastAsia" w:eastAsia="宋体" w:cs="Times New Roman"/>
                <w:color w:val="auto"/>
                <w:szCs w:val="24"/>
                <w:highlight w:val="none"/>
                <w:lang w:eastAsia="zh-CN" w:bidi="ar"/>
              </w:rPr>
              <w:t>（</w:t>
            </w:r>
            <w:r>
              <w:rPr>
                <w:rFonts w:hint="eastAsia" w:eastAsia="宋体" w:cs="Times New Roman"/>
                <w:color w:val="auto"/>
                <w:szCs w:val="24"/>
                <w:highlight w:val="none"/>
                <w:lang w:val="en-US" w:eastAsia="zh-CN" w:bidi="ar"/>
              </w:rPr>
              <w:t>1200+3600</w:t>
            </w:r>
            <w:r>
              <w:rPr>
                <w:rFonts w:hint="eastAsia" w:eastAsia="宋体" w:cs="Times New Roman"/>
                <w:color w:val="auto"/>
                <w:szCs w:val="24"/>
                <w:highlight w:val="none"/>
                <w:lang w:eastAsia="zh-CN" w:bidi="ar"/>
              </w:rPr>
              <w:t>）</w:t>
            </w:r>
            <w:r>
              <w:rPr>
                <w:rFonts w:hint="default" w:ascii="Times New Roman" w:hAnsi="Times New Roman" w:cs="Times New Roman"/>
                <w:color w:val="auto"/>
                <w:szCs w:val="24"/>
                <w:highlight w:val="none"/>
                <w:lang w:bidi="ar"/>
              </w:rPr>
              <w:t>h/a</w:t>
            </w:r>
            <w:r>
              <w:rPr>
                <w:rFonts w:hint="default" w:ascii="Times New Roman" w:hAnsi="Times New Roman" w:eastAsia="Wingdings 2" w:cs="Times New Roman"/>
                <w:color w:val="auto"/>
                <w:szCs w:val="24"/>
                <w:highlight w:val="none"/>
                <w:lang w:bidi="ar"/>
              </w:rPr>
              <w:sym w:font="Wingdings 2" w:char="00CD"/>
            </w:r>
            <w:r>
              <w:rPr>
                <w:rFonts w:hint="default" w:ascii="Times New Roman" w:hAnsi="Times New Roman" w:cs="Times New Roman"/>
                <w:color w:val="auto"/>
                <w:szCs w:val="24"/>
                <w:highlight w:val="none"/>
                <w:lang w:bidi="ar"/>
              </w:rPr>
              <w:t>10</w:t>
            </w:r>
            <w:r>
              <w:rPr>
                <w:rFonts w:hint="default" w:ascii="Times New Roman" w:hAnsi="Times New Roman" w:cs="Times New Roman"/>
                <w:color w:val="auto"/>
                <w:szCs w:val="24"/>
                <w:highlight w:val="none"/>
                <w:vertAlign w:val="superscript"/>
                <w:lang w:bidi="ar"/>
              </w:rPr>
              <w:t>-9</w:t>
            </w:r>
            <w:r>
              <w:rPr>
                <w:rFonts w:hint="default" w:ascii="Times New Roman" w:hAnsi="Times New Roman" w:cs="Times New Roman"/>
                <w:color w:val="auto"/>
                <w:szCs w:val="24"/>
                <w:highlight w:val="none"/>
                <w:lang w:bidi="ar"/>
              </w:rPr>
              <w:t>=</w:t>
            </w:r>
            <w:r>
              <w:rPr>
                <w:rFonts w:hint="eastAsia" w:cs="Times New Roman"/>
                <w:color w:val="auto"/>
                <w:highlight w:val="none"/>
                <w:lang w:val="en-US" w:eastAsia="zh-CN" w:bidi="ar"/>
              </w:rPr>
              <w:t>7.2</w:t>
            </w:r>
            <w:r>
              <w:rPr>
                <w:rFonts w:hint="default" w:ascii="Times New Roman" w:hAnsi="Times New Roman" w:cs="Times New Roman"/>
                <w:color w:val="auto"/>
                <w:highlight w:val="none"/>
                <w:lang w:bidi="ar"/>
              </w:rPr>
              <w:t xml:space="preserve">t/a </w:t>
            </w:r>
          </w:p>
          <w:p>
            <w:pPr>
              <w:adjustRightInd w:val="0"/>
              <w:snapToGrid w:val="0"/>
              <w:spacing w:line="360" w:lineRule="auto"/>
              <w:ind w:firstLine="482"/>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取最小值，则VOCs标准</w:t>
            </w:r>
            <w:r>
              <w:rPr>
                <w:rFonts w:hint="eastAsia" w:cs="Times New Roman"/>
                <w:color w:val="auto"/>
                <w:highlight w:val="none"/>
                <w:lang w:val="en-US" w:eastAsia="zh-CN" w:bidi="ar"/>
              </w:rPr>
              <w:t>核定</w:t>
            </w:r>
            <w:r>
              <w:rPr>
                <w:rFonts w:hint="default" w:ascii="Times New Roman" w:hAnsi="Times New Roman" w:cs="Times New Roman"/>
                <w:color w:val="auto"/>
                <w:highlight w:val="none"/>
                <w:lang w:bidi="ar"/>
              </w:rPr>
              <w:t>排放量为</w:t>
            </w:r>
            <w:r>
              <w:rPr>
                <w:rFonts w:hint="eastAsia" w:cs="Times New Roman"/>
                <w:color w:val="auto"/>
                <w:highlight w:val="none"/>
                <w:lang w:val="en-US" w:eastAsia="zh-CN" w:bidi="ar"/>
              </w:rPr>
              <w:t>7.2</w:t>
            </w:r>
            <w:r>
              <w:rPr>
                <w:rFonts w:hint="default" w:ascii="Times New Roman" w:hAnsi="Times New Roman" w:cs="Times New Roman"/>
                <w:color w:val="auto"/>
                <w:highlight w:val="none"/>
                <w:lang w:bidi="ar"/>
              </w:rPr>
              <w:t>t/a。</w:t>
            </w:r>
          </w:p>
          <w:p>
            <w:pPr>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2、废水总量</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本项目运营期员工</w:t>
            </w:r>
            <w:r>
              <w:rPr>
                <w:rFonts w:hint="eastAsia" w:cs="Times New Roman"/>
                <w:color w:val="auto"/>
                <w:highlight w:val="none"/>
                <w:lang w:val="en-US" w:eastAsia="zh-CN"/>
              </w:rPr>
              <w:t>60</w:t>
            </w:r>
            <w:r>
              <w:rPr>
                <w:rFonts w:hint="default" w:ascii="Times New Roman" w:hAnsi="Times New Roman" w:cs="Times New Roman"/>
                <w:color w:val="auto"/>
                <w:highlight w:val="none"/>
              </w:rPr>
              <w:t>人，生活污水排放量</w:t>
            </w:r>
            <w:r>
              <w:rPr>
                <w:rFonts w:hint="eastAsia" w:cs="Times New Roman"/>
                <w:color w:val="auto"/>
                <w:highlight w:val="none"/>
                <w:lang w:val="en-US" w:eastAsia="zh-CN"/>
              </w:rPr>
              <w:t>2.7</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eastAsia" w:cs="Times New Roman"/>
                <w:color w:val="auto"/>
                <w:highlight w:val="none"/>
                <w:lang w:val="en-US" w:eastAsia="zh-CN"/>
              </w:rPr>
              <w:t>810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/a）。本项目外排生活污水经化粪池沉淀后</w:t>
            </w:r>
            <w:r>
              <w:rPr>
                <w:rFonts w:hint="default" w:ascii="Times New Roman" w:hAnsi="Times New Roman" w:cs="Times New Roman"/>
                <w:color w:val="auto"/>
                <w:highlight w:val="none"/>
              </w:rPr>
              <w:t>通过管道排到市政管网，然后排入</w:t>
            </w:r>
            <w:r>
              <w:rPr>
                <w:rFonts w:hint="eastAsia" w:cs="Times New Roman"/>
                <w:color w:val="auto"/>
                <w:highlight w:val="none"/>
                <w:lang w:eastAsia="zh-CN"/>
              </w:rPr>
              <w:t>大港石化产业园区污水处理厂</w:t>
            </w:r>
            <w:r>
              <w:rPr>
                <w:rFonts w:hint="default" w:ascii="Times New Roman" w:hAnsi="Times New Roman" w:cs="Times New Roman"/>
                <w:color w:val="auto"/>
                <w:highlight w:val="none"/>
              </w:rPr>
              <w:t>进一步处理。</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（1）预测排放量</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r>
              <w:rPr>
                <w:rFonts w:hint="eastAsia" w:cs="Times New Roman"/>
                <w:color w:val="auto"/>
                <w:highlight w:val="none"/>
                <w:lang w:val="en-US" w:eastAsia="zh-CN"/>
              </w:rPr>
              <w:t>cr</w:t>
            </w:r>
            <w:r>
              <w:rPr>
                <w:rFonts w:hint="default" w:ascii="Times New Roman" w:hAnsi="Times New Roman" w:cs="Times New Roman"/>
                <w:color w:val="auto"/>
                <w:highlight w:val="none"/>
              </w:rPr>
              <w:t>预测排放量=</w:t>
            </w:r>
            <w:r>
              <w:rPr>
                <w:rFonts w:hint="eastAsia" w:cs="Times New Roman"/>
                <w:color w:val="auto"/>
                <w:highlight w:val="none"/>
                <w:lang w:val="en-US" w:eastAsia="zh-CN"/>
              </w:rPr>
              <w:t>810m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w:t>
            </w:r>
            <w:r>
              <w:rPr>
                <w:rFonts w:hint="default" w:ascii="Times New Roman" w:hAnsi="Times New Roman" w:cs="Times New Roman"/>
                <w:color w:val="auto"/>
                <w:highlight w:val="none"/>
              </w:rPr>
              <w:t>×350</w:t>
            </w:r>
            <w:r>
              <w:rPr>
                <w:rFonts w:hint="eastAsia" w:cs="Times New Roman"/>
                <w:color w:val="auto"/>
                <w:highlight w:val="none"/>
                <w:lang w:val="en-US" w:eastAsia="zh-CN"/>
              </w:rPr>
              <w:t>mg/L</w:t>
            </w:r>
            <w:r>
              <w:rPr>
                <w:rFonts w:hint="default" w:ascii="Times New Roman" w:hAnsi="Times New Roman" w:cs="Times New Roman"/>
                <w:color w:val="auto"/>
                <w:highlight w:val="none"/>
              </w:rPr>
              <w:t>×10</w:t>
            </w:r>
            <w:r>
              <w:rPr>
                <w:rFonts w:hint="default" w:ascii="Times New Roman" w:hAnsi="Times New Roman" w:cs="Times New Roman"/>
                <w:color w:val="auto"/>
                <w:highlight w:val="none"/>
                <w:vertAlign w:val="superscript"/>
              </w:rPr>
              <w:t>-6</w:t>
            </w:r>
            <w:r>
              <w:rPr>
                <w:rFonts w:hint="default" w:ascii="Times New Roman" w:hAnsi="Times New Roman" w:cs="Times New Roman"/>
                <w:color w:val="auto"/>
                <w:highlight w:val="none"/>
              </w:rPr>
              <w:t>=0.</w:t>
            </w:r>
            <w:r>
              <w:rPr>
                <w:rFonts w:hint="eastAsia" w:cs="Times New Roman"/>
                <w:color w:val="auto"/>
                <w:highlight w:val="none"/>
                <w:lang w:val="en-US" w:eastAsia="zh-CN"/>
              </w:rPr>
              <w:t>2835</w:t>
            </w:r>
            <w:r>
              <w:rPr>
                <w:rFonts w:hint="default" w:ascii="Times New Roman" w:hAnsi="Times New Roman" w:cs="Times New Roman"/>
                <w:color w:val="auto"/>
                <w:highlight w:val="none"/>
              </w:rPr>
              <w:t>t/a</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氨氮预测排放量=</w:t>
            </w:r>
            <w:r>
              <w:rPr>
                <w:rFonts w:hint="eastAsia" w:cs="Times New Roman"/>
                <w:color w:val="auto"/>
                <w:highlight w:val="none"/>
                <w:lang w:val="en-US" w:eastAsia="zh-CN"/>
              </w:rPr>
              <w:t>810m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w:t>
            </w:r>
            <w:r>
              <w:rPr>
                <w:rFonts w:hint="default" w:ascii="Times New Roman" w:hAnsi="Times New Roman" w:cs="Times New Roman"/>
                <w:color w:val="auto"/>
                <w:highlight w:val="none"/>
              </w:rPr>
              <w:t>×30</w:t>
            </w:r>
            <w:r>
              <w:rPr>
                <w:rFonts w:hint="eastAsia" w:cs="Times New Roman"/>
                <w:color w:val="auto"/>
                <w:highlight w:val="none"/>
                <w:lang w:val="en-US" w:eastAsia="zh-CN"/>
              </w:rPr>
              <w:t>mg/L</w:t>
            </w:r>
            <w:r>
              <w:rPr>
                <w:rFonts w:hint="default" w:ascii="Times New Roman" w:hAnsi="Times New Roman" w:cs="Times New Roman"/>
                <w:color w:val="auto"/>
                <w:highlight w:val="none"/>
              </w:rPr>
              <w:t>×10</w:t>
            </w:r>
            <w:r>
              <w:rPr>
                <w:rFonts w:hint="default" w:ascii="Times New Roman" w:hAnsi="Times New Roman" w:cs="Times New Roman"/>
                <w:color w:val="auto"/>
                <w:highlight w:val="none"/>
                <w:vertAlign w:val="superscript"/>
              </w:rPr>
              <w:t>-6</w:t>
            </w:r>
            <w:r>
              <w:rPr>
                <w:rFonts w:hint="default" w:ascii="Times New Roman" w:hAnsi="Times New Roman" w:cs="Times New Roman"/>
                <w:color w:val="auto"/>
                <w:highlight w:val="none"/>
              </w:rPr>
              <w:t>=0.0</w:t>
            </w:r>
            <w:r>
              <w:rPr>
                <w:rFonts w:hint="eastAsia" w:cs="Times New Roman"/>
                <w:color w:val="auto"/>
                <w:highlight w:val="none"/>
                <w:lang w:val="en-US" w:eastAsia="zh-CN"/>
              </w:rPr>
              <w:t>243</w:t>
            </w:r>
            <w:r>
              <w:rPr>
                <w:rFonts w:hint="default" w:ascii="Times New Roman" w:hAnsi="Times New Roman" w:cs="Times New Roman"/>
                <w:color w:val="auto"/>
                <w:highlight w:val="none"/>
              </w:rPr>
              <w:t>t/a</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（2）核定排放量</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废水污染物中CODcr、氨氮核定排放量以《污水综合排放标准》（DB12/356-2018）三级标准限值（COD</w:t>
            </w:r>
            <w:r>
              <w:rPr>
                <w:rFonts w:hint="eastAsia" w:cs="Times New Roman"/>
                <w:color w:val="auto"/>
                <w:highlight w:val="none"/>
                <w:lang w:val="en-US" w:eastAsia="zh-CN"/>
              </w:rPr>
              <w:t>cr</w:t>
            </w:r>
            <w:r>
              <w:rPr>
                <w:rFonts w:hint="default" w:ascii="Times New Roman" w:hAnsi="Times New Roman" w:cs="Times New Roman"/>
                <w:color w:val="auto"/>
                <w:highlight w:val="none"/>
              </w:rPr>
              <w:t>=500mg/L，NH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-N=45mg/L）为依据，污染物排放总量计算过程如下：</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r>
              <w:rPr>
                <w:rFonts w:hint="eastAsia" w:cs="Times New Roman"/>
                <w:color w:val="auto"/>
                <w:highlight w:val="none"/>
                <w:lang w:val="en-US" w:eastAsia="zh-CN"/>
              </w:rPr>
              <w:t>cr</w:t>
            </w:r>
            <w:r>
              <w:rPr>
                <w:rFonts w:hint="default" w:ascii="Times New Roman" w:hAnsi="Times New Roman" w:cs="Times New Roman"/>
                <w:color w:val="auto"/>
                <w:highlight w:val="none"/>
              </w:rPr>
              <w:t>核定排放量=</w:t>
            </w:r>
            <w:r>
              <w:rPr>
                <w:rFonts w:hint="eastAsia" w:cs="Times New Roman"/>
                <w:color w:val="auto"/>
                <w:highlight w:val="none"/>
                <w:lang w:val="en-US" w:eastAsia="zh-CN"/>
              </w:rPr>
              <w:t>810m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w:t>
            </w:r>
            <w:r>
              <w:rPr>
                <w:rFonts w:hint="default" w:ascii="Times New Roman" w:hAnsi="Times New Roman" w:cs="Times New Roman"/>
                <w:color w:val="auto"/>
                <w:highlight w:val="none"/>
              </w:rPr>
              <w:t>×500</w:t>
            </w:r>
            <w:r>
              <w:rPr>
                <w:rFonts w:hint="eastAsia" w:cs="Times New Roman"/>
                <w:color w:val="auto"/>
                <w:highlight w:val="none"/>
                <w:lang w:val="en-US" w:eastAsia="zh-CN"/>
              </w:rPr>
              <w:t>mg/L</w:t>
            </w:r>
            <w:r>
              <w:rPr>
                <w:rFonts w:hint="default" w:ascii="Times New Roman" w:hAnsi="Times New Roman" w:cs="Times New Roman"/>
                <w:color w:val="auto"/>
                <w:highlight w:val="none"/>
              </w:rPr>
              <w:t>×10</w:t>
            </w:r>
            <w:r>
              <w:rPr>
                <w:rFonts w:hint="default" w:ascii="Times New Roman" w:hAnsi="Times New Roman" w:cs="Times New Roman"/>
                <w:color w:val="auto"/>
                <w:highlight w:val="none"/>
                <w:vertAlign w:val="superscript"/>
              </w:rPr>
              <w:t>-6</w:t>
            </w:r>
            <w:r>
              <w:rPr>
                <w:rFonts w:hint="default" w:ascii="Times New Roman" w:hAnsi="Times New Roman" w:cs="Times New Roman"/>
                <w:color w:val="auto"/>
                <w:highlight w:val="none"/>
              </w:rPr>
              <w:t>=0.</w:t>
            </w:r>
            <w:r>
              <w:rPr>
                <w:rFonts w:hint="eastAsia" w:cs="Times New Roman"/>
                <w:color w:val="auto"/>
                <w:highlight w:val="none"/>
                <w:lang w:val="en-US" w:eastAsia="zh-CN"/>
              </w:rPr>
              <w:t>40</w:t>
            </w:r>
            <w:r>
              <w:rPr>
                <w:rFonts w:hint="default" w:ascii="Times New Roman" w:hAnsi="Times New Roman" w:cs="Times New Roman"/>
                <w:color w:val="auto"/>
                <w:highlight w:val="none"/>
              </w:rPr>
              <w:t>5t/a</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氨氮核定排放量=</w:t>
            </w:r>
            <w:r>
              <w:rPr>
                <w:rFonts w:hint="eastAsia" w:cs="Times New Roman"/>
                <w:color w:val="auto"/>
                <w:highlight w:val="none"/>
                <w:lang w:val="en-US" w:eastAsia="zh-CN"/>
              </w:rPr>
              <w:t>810m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w:t>
            </w:r>
            <w:r>
              <w:rPr>
                <w:rFonts w:hint="default" w:ascii="Times New Roman" w:hAnsi="Times New Roman" w:cs="Times New Roman"/>
                <w:color w:val="auto"/>
                <w:highlight w:val="none"/>
              </w:rPr>
              <w:t>×45</w:t>
            </w:r>
            <w:r>
              <w:rPr>
                <w:rFonts w:hint="eastAsia" w:cs="Times New Roman"/>
                <w:color w:val="auto"/>
                <w:highlight w:val="none"/>
                <w:lang w:val="en-US" w:eastAsia="zh-CN"/>
              </w:rPr>
              <w:t>mg/L</w:t>
            </w:r>
            <w:r>
              <w:rPr>
                <w:rFonts w:hint="default" w:ascii="Times New Roman" w:hAnsi="Times New Roman" w:cs="Times New Roman"/>
                <w:color w:val="auto"/>
                <w:highlight w:val="none"/>
              </w:rPr>
              <w:t>×10</w:t>
            </w:r>
            <w:r>
              <w:rPr>
                <w:rFonts w:hint="default" w:ascii="Times New Roman" w:hAnsi="Times New Roman" w:cs="Times New Roman"/>
                <w:color w:val="auto"/>
                <w:highlight w:val="none"/>
                <w:vertAlign w:val="superscript"/>
              </w:rPr>
              <w:t>-6</w:t>
            </w:r>
            <w:r>
              <w:rPr>
                <w:rFonts w:hint="default" w:ascii="Times New Roman" w:hAnsi="Times New Roman" w:cs="Times New Roman"/>
                <w:color w:val="auto"/>
                <w:highlight w:val="none"/>
              </w:rPr>
              <w:t>=0.0</w:t>
            </w:r>
            <w:r>
              <w:rPr>
                <w:rFonts w:hint="eastAsia" w:cs="Times New Roman"/>
                <w:color w:val="auto"/>
                <w:highlight w:val="none"/>
                <w:lang w:val="en-US" w:eastAsia="zh-CN"/>
              </w:rPr>
              <w:t>365</w:t>
            </w:r>
            <w:r>
              <w:rPr>
                <w:rFonts w:hint="default" w:ascii="Times New Roman" w:hAnsi="Times New Roman" w:cs="Times New Roman"/>
                <w:color w:val="auto"/>
                <w:highlight w:val="none"/>
              </w:rPr>
              <w:t>t/a</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（3）外排环境量</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本项目生活污水经</w:t>
            </w:r>
            <w:r>
              <w:rPr>
                <w:rFonts w:hint="eastAsia" w:cs="Times New Roman"/>
                <w:color w:val="auto"/>
                <w:highlight w:val="none"/>
                <w:lang w:eastAsia="zh-CN"/>
              </w:rPr>
              <w:t>大港石化产业园区污水处理厂</w:t>
            </w:r>
            <w:r>
              <w:rPr>
                <w:rFonts w:hint="default" w:ascii="Times New Roman" w:hAnsi="Times New Roman" w:cs="Times New Roman"/>
                <w:color w:val="auto"/>
                <w:highlight w:val="none"/>
              </w:rPr>
              <w:t>后，最终出水水质达到《城镇污水处理厂污染物排放标准》（DB12/599-2015）的</w:t>
            </w:r>
            <w:r>
              <w:rPr>
                <w:rFonts w:hint="eastAsia" w:cs="Times New Roman"/>
                <w:color w:val="auto"/>
                <w:highlight w:val="none"/>
                <w:lang w:val="en-US" w:eastAsia="zh-CN"/>
              </w:rPr>
              <w:t>A</w:t>
            </w:r>
            <w:r>
              <w:rPr>
                <w:rFonts w:hint="default" w:ascii="Times New Roman" w:hAnsi="Times New Roman" w:cs="Times New Roman"/>
                <w:color w:val="auto"/>
                <w:highlight w:val="none"/>
              </w:rPr>
              <w:t>标准，即CODcr</w:t>
            </w:r>
            <w:r>
              <w:rPr>
                <w:rFonts w:hint="eastAsia" w:cs="Times New Roman"/>
                <w:color w:val="auto"/>
                <w:highlight w:val="none"/>
                <w:lang w:val="en-US" w:eastAsia="zh-CN"/>
              </w:rPr>
              <w:t>3</w:t>
            </w:r>
            <w:r>
              <w:rPr>
                <w:rFonts w:hint="default" w:ascii="Times New Roman" w:hAnsi="Times New Roman" w:cs="Times New Roman"/>
                <w:color w:val="auto"/>
                <w:highlight w:val="none"/>
              </w:rPr>
              <w:t>0mg/L、氨氮</w:t>
            </w:r>
            <w:r>
              <w:rPr>
                <w:rFonts w:hint="eastAsia" w:cs="Times New Roman"/>
                <w:color w:val="auto"/>
                <w:highlight w:val="none"/>
                <w:lang w:val="en-US" w:eastAsia="zh-CN"/>
              </w:rPr>
              <w:t>1.5</w:t>
            </w:r>
            <w:r>
              <w:rPr>
                <w:rFonts w:hint="default" w:ascii="Times New Roman" w:hAnsi="Times New Roman" w:cs="Times New Roman"/>
                <w:color w:val="auto"/>
                <w:highlight w:val="none"/>
              </w:rPr>
              <w:t>(</w:t>
            </w:r>
            <w:r>
              <w:rPr>
                <w:rFonts w:hint="eastAsia" w:cs="Times New Roman"/>
                <w:color w:val="auto"/>
                <w:highlight w:val="none"/>
                <w:lang w:val="en-US" w:eastAsia="zh-CN"/>
              </w:rPr>
              <w:t>3.0</w:t>
            </w:r>
            <w:r>
              <w:rPr>
                <w:rFonts w:hint="default" w:ascii="Times New Roman" w:hAnsi="Times New Roman" w:cs="Times New Roman"/>
                <w:color w:val="auto"/>
                <w:highlight w:val="none"/>
              </w:rPr>
              <w:t>)mg/L，则本项目排入外环境的污染物总量计算过程如下。</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COD</w:t>
            </w:r>
            <w:r>
              <w:rPr>
                <w:rFonts w:hint="eastAsia" w:cs="Times New Roman"/>
                <w:color w:val="auto"/>
                <w:highlight w:val="none"/>
                <w:lang w:val="en-US" w:eastAsia="zh-CN"/>
              </w:rPr>
              <w:t>cr</w:t>
            </w:r>
            <w:r>
              <w:rPr>
                <w:rFonts w:hint="default" w:ascii="Times New Roman" w:hAnsi="Times New Roman" w:cs="Times New Roman"/>
                <w:color w:val="auto"/>
                <w:highlight w:val="none"/>
              </w:rPr>
              <w:t>排入外环境量=</w:t>
            </w:r>
            <w:r>
              <w:rPr>
                <w:rFonts w:hint="eastAsia" w:cs="Times New Roman"/>
                <w:color w:val="auto"/>
                <w:highlight w:val="none"/>
                <w:lang w:val="en-US" w:eastAsia="zh-CN"/>
              </w:rPr>
              <w:t>810m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w:t>
            </w:r>
            <w:r>
              <w:rPr>
                <w:rFonts w:hint="default" w:ascii="Times New Roman" w:hAnsi="Times New Roman" w:cs="Times New Roman"/>
                <w:color w:val="auto"/>
                <w:highlight w:val="none"/>
              </w:rPr>
              <w:t>×50</w:t>
            </w:r>
            <w:r>
              <w:rPr>
                <w:rFonts w:hint="eastAsia" w:cs="Times New Roman"/>
                <w:color w:val="auto"/>
                <w:highlight w:val="none"/>
                <w:lang w:val="en-US" w:eastAsia="zh-CN"/>
              </w:rPr>
              <w:t>mg/L</w:t>
            </w:r>
            <w:r>
              <w:rPr>
                <w:rFonts w:hint="default" w:ascii="Times New Roman" w:hAnsi="Times New Roman" w:cs="Times New Roman"/>
                <w:color w:val="auto"/>
                <w:highlight w:val="none"/>
              </w:rPr>
              <w:t>×10</w:t>
            </w:r>
            <w:r>
              <w:rPr>
                <w:rFonts w:hint="default" w:ascii="Times New Roman" w:hAnsi="Times New Roman" w:cs="Times New Roman"/>
                <w:color w:val="auto"/>
                <w:highlight w:val="none"/>
                <w:vertAlign w:val="superscript"/>
              </w:rPr>
              <w:t>-6</w:t>
            </w:r>
            <w:r>
              <w:rPr>
                <w:rFonts w:hint="default" w:ascii="Times New Roman" w:hAnsi="Times New Roman" w:cs="Times New Roman"/>
                <w:color w:val="auto"/>
                <w:highlight w:val="none"/>
              </w:rPr>
              <w:t>=0.0</w:t>
            </w:r>
            <w:r>
              <w:rPr>
                <w:rFonts w:hint="eastAsia" w:cs="Times New Roman"/>
                <w:color w:val="auto"/>
                <w:highlight w:val="none"/>
                <w:lang w:val="en-US" w:eastAsia="zh-CN"/>
              </w:rPr>
              <w:t>40</w:t>
            </w:r>
            <w:r>
              <w:rPr>
                <w:rFonts w:hint="default" w:ascii="Times New Roman" w:hAnsi="Times New Roman" w:cs="Times New Roman"/>
                <w:color w:val="auto"/>
                <w:highlight w:val="none"/>
              </w:rPr>
              <w:t>5t/a</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氨氮排入外环境量=</w:t>
            </w:r>
            <w:r>
              <w:rPr>
                <w:rFonts w:hint="eastAsia" w:cs="Times New Roman"/>
                <w:color w:val="auto"/>
                <w:highlight w:val="none"/>
                <w:lang w:val="en-US" w:eastAsia="zh-CN"/>
              </w:rPr>
              <w:t>810m</w:t>
            </w:r>
            <w:r>
              <w:rPr>
                <w:rFonts w:hint="eastAsia" w:cs="Times New Roman"/>
                <w:color w:val="auto"/>
                <w:highlight w:val="none"/>
                <w:vertAlign w:val="superscript"/>
                <w:lang w:val="en-US" w:eastAsia="zh-CN"/>
              </w:rPr>
              <w:t>3</w:t>
            </w:r>
            <w:r>
              <w:rPr>
                <w:rFonts w:hint="eastAsia" w:cs="Times New Roman"/>
                <w:color w:val="auto"/>
                <w:highlight w:val="none"/>
                <w:lang w:val="en-US" w:eastAsia="zh-CN"/>
              </w:rPr>
              <w:t>/a</w:t>
            </w:r>
            <w:r>
              <w:rPr>
                <w:rFonts w:hint="default" w:ascii="Times New Roman" w:hAnsi="Times New Roman" w:cs="Times New Roman"/>
                <w:color w:val="auto"/>
                <w:highlight w:val="none"/>
              </w:rPr>
              <w:t>×（</w:t>
            </w:r>
            <w:r>
              <w:rPr>
                <w:rFonts w:hint="eastAsia" w:cs="Times New Roman"/>
                <w:color w:val="auto"/>
                <w:highlight w:val="none"/>
                <w:lang w:val="en-US" w:eastAsia="zh-CN"/>
              </w:rPr>
              <w:t>1.5</w:t>
            </w:r>
            <w:r>
              <w:rPr>
                <w:rFonts w:hint="default" w:ascii="Times New Roman" w:hAnsi="Times New Roman" w:cs="Times New Roman"/>
                <w:color w:val="auto"/>
                <w:highlight w:val="none"/>
              </w:rPr>
              <w:t>mg/L×5+</w:t>
            </w:r>
            <w:r>
              <w:rPr>
                <w:rFonts w:hint="eastAsia" w:cs="Times New Roman"/>
                <w:color w:val="auto"/>
                <w:highlight w:val="none"/>
                <w:lang w:val="en-US" w:eastAsia="zh-CN"/>
              </w:rPr>
              <w:t>3</w:t>
            </w:r>
            <w:r>
              <w:rPr>
                <w:rFonts w:hint="default" w:ascii="Times New Roman" w:hAnsi="Times New Roman" w:cs="Times New Roman"/>
                <w:color w:val="auto"/>
                <w:highlight w:val="none"/>
              </w:rPr>
              <w:t>mg/L×7）/12×10</w:t>
            </w:r>
            <w:r>
              <w:rPr>
                <w:rFonts w:hint="default" w:ascii="Times New Roman" w:hAnsi="Times New Roman" w:cs="Times New Roman"/>
                <w:color w:val="auto"/>
                <w:highlight w:val="none"/>
                <w:vertAlign w:val="superscript"/>
              </w:rPr>
              <w:t>-6</w:t>
            </w:r>
            <w:r>
              <w:rPr>
                <w:rFonts w:hint="default" w:ascii="Times New Roman" w:hAnsi="Times New Roman" w:cs="Times New Roman"/>
                <w:color w:val="auto"/>
                <w:highlight w:val="none"/>
              </w:rPr>
              <w:t>=0.00</w:t>
            </w:r>
            <w:r>
              <w:rPr>
                <w:rFonts w:hint="eastAsia" w:cs="Times New Roman"/>
                <w:color w:val="auto"/>
                <w:highlight w:val="none"/>
                <w:lang w:val="en-US" w:eastAsia="zh-CN"/>
              </w:rPr>
              <w:t>19</w:t>
            </w:r>
            <w:r>
              <w:rPr>
                <w:rFonts w:hint="default" w:ascii="Times New Roman" w:hAnsi="Times New Roman" w:cs="Times New Roman"/>
                <w:color w:val="auto"/>
                <w:highlight w:val="none"/>
              </w:rPr>
              <w:t>t/a</w:t>
            </w:r>
          </w:p>
          <w:p>
            <w:pPr>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表3-1</w:t>
            </w:r>
            <w:r>
              <w:rPr>
                <w:rFonts w:hint="eastAsia"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 xml:space="preserve"> 本项目污染物排放总量控制建议指标  单位t/a</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940"/>
              <w:gridCol w:w="1545"/>
              <w:gridCol w:w="1694"/>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种类</w:t>
                  </w:r>
                </w:p>
              </w:tc>
              <w:tc>
                <w:tcPr>
                  <w:tcW w:w="1158"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污染物名称</w:t>
                  </w:r>
                </w:p>
              </w:tc>
              <w:tc>
                <w:tcPr>
                  <w:tcW w:w="92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预测排放量</w:t>
                  </w:r>
                </w:p>
              </w:tc>
              <w:tc>
                <w:tcPr>
                  <w:tcW w:w="101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核定排放量</w:t>
                  </w:r>
                </w:p>
              </w:tc>
              <w:tc>
                <w:tcPr>
                  <w:tcW w:w="148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最终排入环境的量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restar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1158"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COD</w:t>
                  </w:r>
                  <w:r>
                    <w:rPr>
                      <w:rFonts w:hint="eastAsia" w:cs="Times New Roman"/>
                      <w:color w:val="auto"/>
                      <w:sz w:val="21"/>
                      <w:szCs w:val="21"/>
                      <w:highlight w:val="none"/>
                      <w:lang w:val="en-US" w:eastAsia="zh-CN"/>
                    </w:rPr>
                    <w:t>cr</w:t>
                  </w:r>
                </w:p>
              </w:tc>
              <w:tc>
                <w:tcPr>
                  <w:tcW w:w="922"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2835</w:t>
                  </w:r>
                </w:p>
              </w:tc>
              <w:tc>
                <w:tcPr>
                  <w:tcW w:w="101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40</w:t>
                  </w:r>
                  <w:r>
                    <w:rPr>
                      <w:rFonts w:hint="default" w:ascii="Times New Roman" w:hAnsi="Times New Roman" w:cs="Times New Roman"/>
                      <w:color w:val="auto"/>
                      <w:sz w:val="21"/>
                      <w:szCs w:val="21"/>
                      <w:highlight w:val="none"/>
                    </w:rPr>
                    <w:t>5</w:t>
                  </w:r>
                </w:p>
              </w:tc>
              <w:tc>
                <w:tcPr>
                  <w:tcW w:w="148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40</w:t>
                  </w:r>
                  <w:r>
                    <w:rPr>
                      <w:rFonts w:hint="default" w:ascii="Times New Roman" w:hAnsi="Times New Roman" w:cs="Times New Roman"/>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Merge w:val="continue"/>
                  <w:vAlign w:val="center"/>
                </w:tcPr>
                <w:p>
                  <w:pPr>
                    <w:jc w:val="center"/>
                    <w:rPr>
                      <w:rFonts w:hint="default" w:ascii="Times New Roman" w:hAnsi="Times New Roman" w:cs="Times New Roman"/>
                      <w:color w:val="auto"/>
                      <w:sz w:val="21"/>
                      <w:szCs w:val="21"/>
                      <w:highlight w:val="none"/>
                    </w:rPr>
                  </w:pPr>
                </w:p>
              </w:tc>
              <w:tc>
                <w:tcPr>
                  <w:tcW w:w="1158"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w:t>
                  </w:r>
                </w:p>
              </w:tc>
              <w:tc>
                <w:tcPr>
                  <w:tcW w:w="922"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243</w:t>
                  </w:r>
                </w:p>
              </w:tc>
              <w:tc>
                <w:tcPr>
                  <w:tcW w:w="1011"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365</w:t>
                  </w:r>
                </w:p>
              </w:tc>
              <w:tc>
                <w:tcPr>
                  <w:tcW w:w="1482"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0.00</w:t>
                  </w:r>
                  <w:r>
                    <w:rPr>
                      <w:rFonts w:hint="eastAsia" w:cs="Times New Roman"/>
                      <w:color w:val="auto"/>
                      <w:sz w:val="21"/>
                      <w:szCs w:val="21"/>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1158"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VOCs</w:t>
                  </w:r>
                </w:p>
              </w:tc>
              <w:tc>
                <w:tcPr>
                  <w:tcW w:w="922"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0.703</w:t>
                  </w:r>
                </w:p>
              </w:tc>
              <w:tc>
                <w:tcPr>
                  <w:tcW w:w="1011"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w:t>
                  </w:r>
                </w:p>
              </w:tc>
              <w:tc>
                <w:tcPr>
                  <w:tcW w:w="1482"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0.703</w:t>
                  </w:r>
                </w:p>
              </w:tc>
            </w:tr>
          </w:tbl>
          <w:p>
            <w:pPr>
              <w:spacing w:line="360" w:lineRule="auto"/>
              <w:ind w:firstLine="480"/>
              <w:rPr>
                <w:rFonts w:hint="default" w:ascii="Times New Roman" w:hAnsi="Times New Roman" w:cs="Times New Roman"/>
                <w:bCs/>
                <w:color w:val="auto"/>
                <w:highlight w:val="none"/>
                <w:lang w:val="zh-CN"/>
              </w:rPr>
            </w:pPr>
            <w:r>
              <w:rPr>
                <w:rFonts w:hint="default" w:ascii="Times New Roman" w:hAnsi="Times New Roman" w:cs="Times New Roman"/>
                <w:color w:val="auto"/>
                <w:highlight w:val="none"/>
              </w:rPr>
              <w:t>由上表可知，本项目依据预测排放核定总量指标为COD</w:t>
            </w:r>
            <w:r>
              <w:rPr>
                <w:rFonts w:hint="eastAsia" w:cs="Times New Roman"/>
                <w:color w:val="auto"/>
                <w:highlight w:val="none"/>
                <w:lang w:val="en-US" w:eastAsia="zh-CN"/>
              </w:rPr>
              <w:t>cr</w:t>
            </w:r>
            <w:r>
              <w:rPr>
                <w:rFonts w:hint="default" w:ascii="Times New Roman" w:hAnsi="Times New Roman" w:cs="Times New Roman"/>
                <w:color w:val="auto"/>
                <w:highlight w:val="none"/>
              </w:rPr>
              <w:t xml:space="preserve"> 0.</w:t>
            </w:r>
            <w:r>
              <w:rPr>
                <w:rFonts w:hint="eastAsia" w:cs="Times New Roman"/>
                <w:color w:val="auto"/>
                <w:highlight w:val="none"/>
                <w:lang w:val="en-US" w:eastAsia="zh-CN"/>
              </w:rPr>
              <w:t>2835</w:t>
            </w:r>
            <w:r>
              <w:rPr>
                <w:rFonts w:hint="default" w:ascii="Times New Roman" w:hAnsi="Times New Roman" w:cs="Times New Roman"/>
                <w:color w:val="auto"/>
                <w:highlight w:val="none"/>
              </w:rPr>
              <w:t>t/a、氨氮0.0</w:t>
            </w:r>
            <w:r>
              <w:rPr>
                <w:rFonts w:hint="eastAsia" w:cs="Times New Roman"/>
                <w:color w:val="auto"/>
                <w:highlight w:val="none"/>
                <w:lang w:val="en-US" w:eastAsia="zh-CN"/>
              </w:rPr>
              <w:t>243</w:t>
            </w:r>
            <w:r>
              <w:rPr>
                <w:rFonts w:hint="default" w:ascii="Times New Roman" w:hAnsi="Times New Roman" w:cs="Times New Roman"/>
                <w:color w:val="auto"/>
                <w:highlight w:val="none"/>
              </w:rPr>
              <w:t xml:space="preserve">t/a、VOCs </w:t>
            </w:r>
            <w:r>
              <w:rPr>
                <w:rFonts w:hint="eastAsia" w:cs="Times New Roman"/>
                <w:color w:val="auto"/>
                <w:highlight w:val="none"/>
                <w:lang w:val="en-US" w:eastAsia="zh-CN"/>
              </w:rPr>
              <w:t>0.703</w:t>
            </w:r>
            <w:r>
              <w:rPr>
                <w:rFonts w:hint="default" w:ascii="Times New Roman" w:hAnsi="Times New Roman" w:cs="Times New Roman"/>
                <w:color w:val="auto"/>
                <w:highlight w:val="none"/>
              </w:rPr>
              <w:t>t/a。</w:t>
            </w:r>
            <w:r>
              <w:rPr>
                <w:rFonts w:hint="default" w:ascii="Times New Roman" w:hAnsi="Times New Roman" w:cs="Times New Roman"/>
                <w:bCs/>
                <w:color w:val="auto"/>
                <w:highlight w:val="none"/>
                <w:lang w:val="zh-CN"/>
              </w:rPr>
              <w:t>根据“天津市人民政府办公厅关于印发天津市重点污染物排放总量控制管理办法（试行）的通知（津政办规〔2023〕1号）”</w:t>
            </w:r>
            <w:r>
              <w:rPr>
                <w:rFonts w:hint="default" w:ascii="Times New Roman" w:hAnsi="Times New Roman" w:cs="Times New Roman"/>
                <w:bCs/>
                <w:color w:val="auto"/>
                <w:highlight w:val="none"/>
              </w:rPr>
              <w:t>要求，由</w:t>
            </w:r>
            <w:r>
              <w:rPr>
                <w:rFonts w:hint="eastAsia" w:cs="Times New Roman"/>
                <w:bCs/>
                <w:color w:val="auto"/>
                <w:highlight w:val="none"/>
                <w:lang w:val="en-US" w:eastAsia="zh-CN"/>
              </w:rPr>
              <w:t>滨海新</w:t>
            </w:r>
            <w:r>
              <w:rPr>
                <w:rFonts w:hint="default" w:ascii="Times New Roman" w:hAnsi="Times New Roman" w:cs="Times New Roman"/>
                <w:bCs/>
                <w:color w:val="auto"/>
                <w:highlight w:val="none"/>
              </w:rPr>
              <w:t>区生态</w:t>
            </w:r>
            <w:r>
              <w:rPr>
                <w:rFonts w:hint="default" w:ascii="Times New Roman" w:hAnsi="Times New Roman" w:cs="Times New Roman"/>
                <w:bCs/>
                <w:color w:val="auto"/>
                <w:highlight w:val="none"/>
                <w:lang w:val="zh-CN"/>
              </w:rPr>
              <w:t>环境局核实本项目总量控制要求。</w:t>
            </w:r>
          </w:p>
          <w:p>
            <w:pPr>
              <w:pStyle w:val="28"/>
              <w:rPr>
                <w:rFonts w:hint="default" w:ascii="Times New Roman" w:hAnsi="Times New Roman" w:cs="Times New Roman"/>
                <w:bCs/>
                <w:color w:val="auto"/>
                <w:highlight w:val="none"/>
                <w:lang w:val="zh-CN"/>
              </w:rPr>
            </w:pPr>
          </w:p>
          <w:p>
            <w:pPr>
              <w:rPr>
                <w:rFonts w:hint="default" w:ascii="Times New Roman" w:hAnsi="Times New Roman" w:cs="Times New Roman"/>
                <w:bCs/>
                <w:color w:val="auto"/>
                <w:highlight w:val="none"/>
                <w:lang w:val="zh-CN"/>
              </w:rPr>
            </w:pPr>
          </w:p>
          <w:p>
            <w:pPr>
              <w:pStyle w:val="28"/>
              <w:rPr>
                <w:rFonts w:hint="default" w:ascii="Times New Roman" w:hAnsi="Times New Roman" w:cs="Times New Roman"/>
                <w:bCs/>
                <w:color w:val="auto"/>
                <w:highlight w:val="none"/>
                <w:lang w:val="zh-CN"/>
              </w:rPr>
            </w:pPr>
          </w:p>
          <w:p>
            <w:pPr>
              <w:rPr>
                <w:rFonts w:hint="default" w:ascii="Times New Roman" w:hAnsi="Times New Roman" w:cs="Times New Roman"/>
                <w:bCs/>
                <w:color w:val="auto"/>
                <w:highlight w:val="none"/>
                <w:lang w:val="zh-CN"/>
              </w:rPr>
            </w:pPr>
          </w:p>
          <w:p>
            <w:pPr>
              <w:rPr>
                <w:rFonts w:hint="default" w:ascii="Times New Roman" w:hAnsi="Times New Roman" w:cs="Times New Roman"/>
                <w:bCs/>
                <w:color w:val="auto"/>
                <w:highlight w:val="none"/>
                <w:lang w:val="zh-CN"/>
              </w:rPr>
            </w:pPr>
          </w:p>
          <w:p>
            <w:pPr>
              <w:rPr>
                <w:rFonts w:hint="default" w:ascii="Times New Roman" w:hAnsi="Times New Roman" w:cs="Times New Roman"/>
                <w:bCs/>
                <w:color w:val="auto"/>
                <w:highlight w:val="none"/>
                <w:lang w:val="zh-CN"/>
              </w:rPr>
            </w:pPr>
          </w:p>
          <w:p>
            <w:pPr>
              <w:rPr>
                <w:rFonts w:hint="default" w:ascii="Times New Roman" w:hAnsi="Times New Roman" w:cs="Times New Roman"/>
                <w:bCs/>
                <w:color w:val="auto"/>
                <w:highlight w:val="none"/>
                <w:lang w:val="zh-CN"/>
              </w:rPr>
            </w:pPr>
          </w:p>
          <w:p>
            <w:pPr>
              <w:rPr>
                <w:rFonts w:hint="default" w:ascii="Times New Roman" w:hAnsi="Times New Roman" w:cs="Times New Roman"/>
                <w:bCs/>
                <w:color w:val="auto"/>
                <w:highlight w:val="none"/>
                <w:lang w:val="zh-CN"/>
              </w:rPr>
            </w:pPr>
          </w:p>
          <w:p>
            <w:pPr>
              <w:rPr>
                <w:rFonts w:hint="default" w:ascii="Times New Roman" w:hAnsi="Times New Roman" w:cs="Times New Roman"/>
                <w:bCs/>
                <w:color w:val="auto"/>
                <w:highlight w:val="none"/>
                <w:lang w:val="zh-CN"/>
              </w:rPr>
            </w:pPr>
          </w:p>
          <w:p>
            <w:pPr>
              <w:rPr>
                <w:rFonts w:hint="default" w:ascii="Times New Roman" w:hAnsi="Times New Roman" w:cs="Times New Roman"/>
                <w:bCs/>
                <w:color w:val="auto"/>
                <w:highlight w:val="none"/>
                <w:lang w:val="zh-CN"/>
              </w:rPr>
            </w:pPr>
          </w:p>
          <w:p>
            <w:pPr>
              <w:rPr>
                <w:rFonts w:hint="default" w:ascii="Times New Roman" w:hAnsi="Times New Roman" w:cs="Times New Roman"/>
                <w:bCs/>
                <w:color w:val="auto"/>
                <w:highlight w:val="none"/>
                <w:lang w:val="zh-CN"/>
              </w:rPr>
            </w:pPr>
          </w:p>
          <w:p>
            <w:pPr>
              <w:rPr>
                <w:rFonts w:hint="default" w:ascii="Times New Roman" w:hAnsi="Times New Roman" w:cs="Times New Roman"/>
                <w:bCs/>
                <w:color w:val="auto"/>
                <w:highlight w:val="none"/>
                <w:lang w:val="zh-CN"/>
              </w:rPr>
            </w:pPr>
          </w:p>
          <w:p>
            <w:pPr>
              <w:rPr>
                <w:rFonts w:hint="default" w:ascii="Times New Roman" w:hAnsi="Times New Roman" w:cs="Times New Roman"/>
                <w:bCs/>
                <w:color w:val="auto"/>
                <w:highlight w:val="none"/>
                <w:lang w:val="zh-CN"/>
              </w:rPr>
            </w:pPr>
          </w:p>
          <w:p>
            <w:pPr>
              <w:rPr>
                <w:rFonts w:hint="default" w:ascii="Times New Roman" w:hAnsi="Times New Roman" w:cs="Times New Roman"/>
                <w:bCs/>
                <w:color w:val="auto"/>
                <w:highlight w:val="none"/>
                <w:lang w:val="zh-CN"/>
              </w:rPr>
            </w:pPr>
          </w:p>
          <w:p>
            <w:pPr>
              <w:rPr>
                <w:rFonts w:hint="default"/>
                <w:color w:val="auto"/>
                <w:highlight w:val="none"/>
              </w:rPr>
            </w:pPr>
          </w:p>
        </w:tc>
      </w:tr>
    </w:tbl>
    <w:p>
      <w:pPr>
        <w:pStyle w:val="25"/>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6"/>
          <w:szCs w:val="36"/>
          <w:highlight w:val="none"/>
        </w:rPr>
        <w:br w:type="page"/>
      </w:r>
      <w:r>
        <w:rPr>
          <w:rFonts w:hint="default" w:ascii="Times New Roman" w:hAnsi="Times New Roman" w:eastAsia="黑体" w:cs="Times New Roman"/>
          <w:snapToGrid w:val="0"/>
          <w:color w:val="auto"/>
          <w:sz w:val="30"/>
          <w:szCs w:val="30"/>
          <w:highlight w:val="none"/>
        </w:rPr>
        <w:t>四、主要环境影响和保护措施</w:t>
      </w:r>
    </w:p>
    <w:tbl>
      <w:tblPr>
        <w:tblStyle w:val="29"/>
        <w:tblW w:w="503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93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6" w:hRule="atLeast"/>
          <w:jc w:val="center"/>
        </w:trPr>
        <w:tc>
          <w:tcPr>
            <w:tcW w:w="164" w:type="pct"/>
            <w:tcMar>
              <w:left w:w="28" w:type="dxa"/>
              <w:right w:w="28" w:type="dxa"/>
            </w:tcMar>
            <w:vAlign w:val="center"/>
          </w:tcPr>
          <w:p>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施工</w:t>
            </w:r>
          </w:p>
          <w:p>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期环</w:t>
            </w:r>
          </w:p>
          <w:p>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境保</w:t>
            </w:r>
          </w:p>
          <w:p>
            <w:pPr>
              <w:pStyle w:val="25"/>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护措</w:t>
            </w:r>
          </w:p>
          <w:p>
            <w:pPr>
              <w:pStyle w:val="25"/>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1"/>
                <w:szCs w:val="21"/>
                <w:highlight w:val="none"/>
              </w:rPr>
              <w:t>施</w:t>
            </w:r>
          </w:p>
        </w:tc>
        <w:tc>
          <w:tcPr>
            <w:tcW w:w="4835" w:type="pct"/>
            <w:vAlign w:val="center"/>
          </w:tcPr>
          <w:p>
            <w:pPr>
              <w:adjustRightInd w:val="0"/>
              <w:snapToGrid w:val="0"/>
              <w:spacing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一、施工期环境保护措施</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本项目施工期主要是对建筑按照功能分区等要求进行装修及设备安装等作业，无重大土建施工，且施工作业基本均在室内进行。  </w:t>
            </w:r>
          </w:p>
          <w:p>
            <w:pPr>
              <w:adjustRightInd w:val="0"/>
              <w:snapToGrid w:val="0"/>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1、施工期扬尘影响</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本项目在装修时由于在室内，门窗关闭后对周围环境影响较小。但也应采取有效防治措施，避免施工扬尘对周围环境造成不利影响。本项目施工阶段严格落实</w:t>
            </w:r>
            <w:r>
              <w:rPr>
                <w:rFonts w:hint="eastAsia" w:cs="Times New Roman"/>
                <w:color w:val="auto"/>
                <w:highlight w:val="none"/>
                <w:lang w:eastAsia="zh-CN"/>
              </w:rPr>
              <w:t>“</w:t>
            </w:r>
            <w:r>
              <w:rPr>
                <w:rFonts w:hint="default" w:ascii="Times New Roman" w:hAnsi="Times New Roman" w:cs="Times New Roman"/>
                <w:color w:val="auto"/>
                <w:highlight w:val="none"/>
              </w:rPr>
              <w:t>六个百分之百</w:t>
            </w:r>
            <w:r>
              <w:rPr>
                <w:rFonts w:hint="eastAsia" w:cs="Times New Roman"/>
                <w:color w:val="auto"/>
                <w:highlight w:val="none"/>
                <w:lang w:eastAsia="zh-CN"/>
              </w:rPr>
              <w:t>”</w:t>
            </w:r>
            <w:r>
              <w:rPr>
                <w:rFonts w:hint="default" w:ascii="Times New Roman" w:hAnsi="Times New Roman" w:cs="Times New Roman"/>
                <w:color w:val="auto"/>
                <w:highlight w:val="none"/>
              </w:rPr>
              <w:t>管控要求以减少扬尘对环境空气的影响</w:t>
            </w:r>
            <w:r>
              <w:rPr>
                <w:rFonts w:hint="eastAsia" w:cs="Times New Roman"/>
                <w:color w:val="auto"/>
                <w:highlight w:val="none"/>
                <w:lang w:eastAsia="zh-CN"/>
              </w:rPr>
              <w:t>，要求各类施工工地应实现“建筑施工工地围挡100%、路面硬化100%、洒水压尘100%、裸土100%覆盖、进出车辆100%冲洗、渣土实施100%密闭运输”</w:t>
            </w:r>
            <w:r>
              <w:rPr>
                <w:rFonts w:hint="default" w:ascii="Times New Roman" w:hAnsi="Times New Roman" w:cs="Times New Roman"/>
                <w:color w:val="auto"/>
                <w:highlight w:val="none"/>
              </w:rPr>
              <w:t>。</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为保护好项目选址所在地区域空气环境质量，降低施工扬尘污染，建设单位应严格按照《天津市大气污染防治条例》的相关要求，采取以下施工扬尘污染控制对策：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（1）建议施工现场使用电锯对建筑材料切割和使用冲击钻时关闭门窗，减轻施工粉尘对周围环境产生影响；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（2）及时清运废弃材料、渣土等；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（3）禁止将装修材料及废弃物随意堆放在室外，对易起尘物料实行库存或加盖苫布，做到物料堆放100%覆盖；</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（4）采用新型环保材料，粉刷过程保持通风；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（5）重污染天气启动红色预警期间，停止可能产生大气污染的与建设工程有关的生产活动；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（6）配备必要的专职或兼职环保监管人员，负责监督装修施工过程中废气防治措施的落实情况。 </w:t>
            </w:r>
          </w:p>
          <w:p>
            <w:pPr>
              <w:adjustRightInd w:val="0"/>
              <w:snapToGrid w:val="0"/>
              <w:spacing w:line="360" w:lineRule="auto"/>
              <w:ind w:firstLine="480" w:firstLineChars="200"/>
              <w:rPr>
                <w:rFonts w:hint="default" w:ascii="Times New Roman" w:hAnsi="Times New Roman" w:cs="Times New Roman"/>
                <w:b/>
                <w:bCs/>
                <w:color w:val="auto"/>
                <w:highlight w:val="none"/>
              </w:rPr>
            </w:pPr>
            <w:r>
              <w:rPr>
                <w:rFonts w:hint="default" w:ascii="Times New Roman" w:hAnsi="Times New Roman" w:cs="Times New Roman"/>
                <w:color w:val="auto"/>
                <w:highlight w:val="none"/>
              </w:rPr>
              <w:t>施工扬尘对环境的影响只是暂时的、短期的，随着工程的竣工，施工期装修产生的影响将随之消失。</w:t>
            </w:r>
          </w:p>
          <w:p>
            <w:pPr>
              <w:adjustRightInd w:val="0"/>
              <w:snapToGrid w:val="0"/>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2、施工期噪声影响分析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2.1 噪声影响分析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装修期间，产生噪声最大的设备为电钻，装修施工场内中心噪声约75dB(A)，装修施工在封闭的室内进行。本项目装修仅在白天进行，夜间不施工，装修噪声能够满足《建筑施工场界环境噪声排放标准》（GB12523-2011）标准要求（昼间 70dB(A)），施工期噪声对外环境影响较小。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根据《天津市环境噪声污染防治管理办法》，为进一步预防和减轻施工噪声对周围环境的影响，应做好如下防治噪声污染工作：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（1）施工单位应选用低噪音、低振动的各类施工机械设备，并尽可能附带消声和隔音的附属设施；避免多台高噪音的机械设备在同一时间段使用。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（2）增加消声减振的装置，如在某些装修机械上安装消声罩。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（3）加强施工人员的管理，提倡文明施工，例如现场装卸设备机具时，应轻装慢放，不得随意乱扔发出巨响。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（4）合理安排施工作业时间，夜间不施工。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（5）施工单位必须在工程开工前十五日向当地环境保护行政主管部门申报，申报内容包括工程名称、施工场所和期限、可能产生的环境噪声值以及所采取的环境噪声污染防治措施情况；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（6）根据《天津市建设工程文明施工管理规定》建设单位应加强与周边环境保护目标工作人员的沟通，在施工前，建设单位应与周围环境保护目标内人员进行协商，双方达成一致后方可施工。</w:t>
            </w:r>
          </w:p>
          <w:p>
            <w:pPr>
              <w:adjustRightInd w:val="0"/>
              <w:snapToGrid w:val="0"/>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3、施工期废水影响分析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施工期废水主要是指施工人员产生的生活污水，产生量较少，就近排入市政污水管网排入</w:t>
            </w:r>
            <w:r>
              <w:rPr>
                <w:rFonts w:hint="eastAsia" w:cs="Times New Roman"/>
                <w:color w:val="auto"/>
                <w:highlight w:val="none"/>
                <w:lang w:eastAsia="zh-CN"/>
              </w:rPr>
              <w:t>大港石化产业园区污水处理厂</w:t>
            </w:r>
            <w:r>
              <w:rPr>
                <w:rFonts w:hint="default" w:ascii="Times New Roman" w:hAnsi="Times New Roman" w:cs="Times New Roman"/>
                <w:color w:val="auto"/>
                <w:highlight w:val="none"/>
              </w:rPr>
              <w:t xml:space="preserve">集中处理，不会对周围水环境造成明显不利影响。 </w:t>
            </w:r>
          </w:p>
          <w:p>
            <w:pPr>
              <w:adjustRightInd w:val="0"/>
              <w:snapToGrid w:val="0"/>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4、施工期固体废物影响分析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装修过程中产生的废装修材料，如碎砖块、水泥块、废木料等，应分类回收、集中堆放，废木料及时由城管委清运；其他建筑垃圾集中收集后及时清运到当地管理部门指定的建筑废渣专用堆放场堆放，防止露天长期堆放可能产生的二次污染。通过加强管理，及时清运，施工期固体废物不会对环境产生显著影响。 </w:t>
            </w:r>
          </w:p>
          <w:p>
            <w:pPr>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本项目施工期工程量不大，装修时间较短，施工结束后对周边环境的影响也随之消除。本项目建设单位应严格按照相关要求，自觉加强对施工现场的监督管理，并采取有效的防护措施，减轻对周边环境带来明显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1" w:hRule="atLeast"/>
          <w:jc w:val="center"/>
        </w:trPr>
        <w:tc>
          <w:tcPr>
            <w:tcW w:w="164" w:type="pct"/>
            <w:tcMar>
              <w:left w:w="28" w:type="dxa"/>
              <w:right w:w="28" w:type="dxa"/>
            </w:tcMar>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运营</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期环</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境影</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响和</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保护</w:t>
            </w:r>
          </w:p>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措施</w:t>
            </w:r>
          </w:p>
        </w:tc>
        <w:tc>
          <w:tcPr>
            <w:tcW w:w="4835" w:type="pct"/>
          </w:tcPr>
          <w:p>
            <w:pPr>
              <w:pStyle w:val="23"/>
              <w:spacing w:line="360" w:lineRule="auto"/>
              <w:ind w:left="0" w:leftChars="0" w:firstLine="0" w:firstLineChars="0"/>
              <w:rPr>
                <w:rFonts w:hint="default" w:ascii="Times New Roman" w:hAnsi="Times New Roman" w:cs="Times New Roman"/>
                <w:b/>
                <w:color w:val="auto"/>
                <w:szCs w:val="24"/>
                <w:highlight w:val="none"/>
              </w:rPr>
            </w:pPr>
            <w:r>
              <w:rPr>
                <w:rFonts w:hint="default" w:ascii="Times New Roman" w:hAnsi="Times New Roman" w:cs="Times New Roman"/>
                <w:b/>
                <w:color w:val="auto"/>
                <w:szCs w:val="24"/>
                <w:highlight w:val="none"/>
              </w:rPr>
              <w:t>一．大气环境影响和环保措施</w:t>
            </w:r>
          </w:p>
          <w:p>
            <w:pPr>
              <w:spacing w:line="360" w:lineRule="auto"/>
              <w:ind w:firstLine="482" w:firstLineChars="200"/>
              <w:rPr>
                <w:rFonts w:hint="default" w:ascii="Times New Roman" w:hAnsi="Times New Roman" w:cs="Times New Roman"/>
                <w:color w:val="auto"/>
                <w:highlight w:val="none"/>
              </w:rPr>
            </w:pPr>
            <w:r>
              <w:rPr>
                <w:rFonts w:hint="default" w:ascii="Times New Roman" w:hAnsi="Times New Roman" w:cs="Times New Roman"/>
                <w:b/>
                <w:bCs/>
                <w:color w:val="auto"/>
                <w:highlight w:val="none"/>
              </w:rPr>
              <w:t>1.大气污染物产排情况及治理措施</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①生产车间1内火焰切割机、埋弧焊机、二保焊机、电焊机、角磨机工作过程中会产生颗粒物，火焰切割机产生的颗粒物经切割枪头处可移动集气罩收集，埋弧焊机、二保焊机、电焊机、角磨机产生的颗粒物经万向集气罩收集，上述颗粒物经收集后通过一套1#布袋除尘器+18m高排气筒P1有组织排放。</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本项目伸缩式喷漆房内调漆-喷漆-晾干过程中的废气经密闭喷漆房内整体换风微负压环境进行废气收集，采用伸缩式喷漆房内水帘+干式过滤棉进行除漆雾，去除漆雾的废气通入1 套</w:t>
            </w:r>
            <w:r>
              <w:rPr>
                <w:rFonts w:hint="eastAsia" w:cs="Times New Roman"/>
                <w:color w:val="auto"/>
                <w:highlight w:val="none"/>
                <w:lang w:eastAsia="zh-CN"/>
              </w:rPr>
              <w:t>活性炭吸附、脱附催化燃烧</w:t>
            </w:r>
            <w:r>
              <w:rPr>
                <w:rFonts w:hint="default" w:ascii="Times New Roman" w:hAnsi="Times New Roman" w:cs="Times New Roman"/>
                <w:color w:val="auto"/>
                <w:highlight w:val="none"/>
              </w:rPr>
              <w:t>装置处理后，通过1根15m 高排气筒P6排放。</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②本项目生产车间2内火焰切割机、半自动火焰切割机、埋弧焊机、二保焊机、电焊机、抛丸机、角磨机工作过程中会产生颗粒物，火焰切割机产生的颗粒物经切割枪头处可移动集气罩收集，埋弧焊机、二保焊机、电焊机、角磨机产生的颗粒物经万向集气罩收集，上述颗粒物经收集后通过一套2#布袋除尘器+18m高排气筒P2有组织排放。抛丸机产生的颗粒物经自带3#布袋除尘器+18m排气筒P3排放。</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③本项目生产车间3内火焰切割机、半自动火焰切割机、埋弧焊机、二保焊机、电焊机、抛丸机、角磨机工作过程中会产生颗粒物，火焰切割机产生的颗粒物经切割枪头处可移动集气罩收集，埋弧焊机、二保焊机、电焊机、角磨机产生的颗粒物经万向集气罩收集，上述颗粒物经收集后通过一套4#布袋除尘器+18m高排气筒P4有组织排放。抛丸机产生的颗粒物经自带5#布袋除尘器+18m排气筒P5排放。</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根据《排污许可证申请与核发技术规范 总则》（HJ1122-2020），“废气污染治理设施工艺包括除尘设施（袋式除尘器、电除尘器、电袋复合除尘器、其他）、有机废气收集治理设施（焚烧、吸附、催化分解、其他）、恶臭治理设施（水洗、吸收、氧化、活性炭吸附、过滤、其他）等”。</w:t>
            </w:r>
          </w:p>
          <w:p>
            <w:pPr>
              <w:spacing w:line="360" w:lineRule="auto"/>
              <w:ind w:firstLine="480" w:firstLineChars="200"/>
              <w:rPr>
                <w:rFonts w:hint="default" w:ascii="Times New Roman" w:hAnsi="Times New Roman" w:cs="Times New Roman"/>
                <w:b/>
                <w:color w:val="auto"/>
                <w:kern w:val="2"/>
                <w:sz w:val="21"/>
                <w:szCs w:val="21"/>
                <w:highlight w:val="none"/>
              </w:rPr>
            </w:pPr>
            <w:r>
              <w:rPr>
                <w:rFonts w:hint="default" w:ascii="Times New Roman" w:hAnsi="Times New Roman" w:cs="Times New Roman"/>
                <w:color w:val="auto"/>
                <w:highlight w:val="none"/>
              </w:rPr>
              <w:t>本项目的颗粒物处理设施为</w:t>
            </w:r>
            <w:r>
              <w:rPr>
                <w:rFonts w:hint="eastAsia" w:cs="Times New Roman"/>
                <w:color w:val="auto"/>
                <w:highlight w:val="none"/>
                <w:lang w:val="en-US" w:eastAsia="zh-CN"/>
              </w:rPr>
              <w:t>水帘、</w:t>
            </w:r>
            <w:r>
              <w:rPr>
                <w:rFonts w:hint="default" w:ascii="Times New Roman" w:hAnsi="Times New Roman" w:cs="Times New Roman"/>
                <w:color w:val="auto"/>
                <w:highlight w:val="none"/>
              </w:rPr>
              <w:t>布袋除尘器，有机废气</w:t>
            </w:r>
            <w:r>
              <w:rPr>
                <w:rFonts w:hint="eastAsia" w:cs="Times New Roman"/>
                <w:color w:val="auto"/>
                <w:highlight w:val="none"/>
                <w:lang w:eastAsia="zh-CN"/>
              </w:rPr>
              <w:t>、</w:t>
            </w:r>
            <w:r>
              <w:rPr>
                <w:rFonts w:hint="default" w:ascii="Times New Roman" w:hAnsi="Times New Roman" w:cs="Times New Roman"/>
                <w:color w:val="auto"/>
                <w:highlight w:val="none"/>
              </w:rPr>
              <w:t>异味治理措施为</w:t>
            </w:r>
            <w:r>
              <w:rPr>
                <w:rFonts w:hint="eastAsia" w:cs="Times New Roman"/>
                <w:color w:val="auto"/>
                <w:szCs w:val="32"/>
                <w:highlight w:val="none"/>
                <w:lang w:eastAsia="zh-CN"/>
              </w:rPr>
              <w:t>活性炭吸附、脱附催化燃烧</w:t>
            </w:r>
            <w:r>
              <w:rPr>
                <w:rFonts w:hint="default" w:ascii="Times New Roman" w:hAnsi="Times New Roman" w:cs="Times New Roman"/>
                <w:color w:val="auto"/>
                <w:szCs w:val="32"/>
                <w:highlight w:val="none"/>
              </w:rPr>
              <w:t>装置</w:t>
            </w:r>
            <w:r>
              <w:rPr>
                <w:rFonts w:hint="default" w:ascii="Times New Roman" w:hAnsi="Times New Roman" w:cs="Times New Roman"/>
                <w:color w:val="auto"/>
                <w:highlight w:val="none"/>
              </w:rPr>
              <w:t>，均为废气治理可行性技术，因此，本项目新建废气治理设施可行。</w:t>
            </w:r>
          </w:p>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b/>
                <w:color w:val="auto"/>
                <w:kern w:val="2"/>
                <w:sz w:val="21"/>
                <w:szCs w:val="21"/>
                <w:highlight w:val="none"/>
              </w:rPr>
              <w:t>表4-1  废气主要产污环节、污染物种类、排放形式及污染治理设施一览表</w:t>
            </w:r>
          </w:p>
          <w:tbl>
            <w:tblPr>
              <w:tblStyle w:val="29"/>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37"/>
              <w:gridCol w:w="1204"/>
              <w:gridCol w:w="884"/>
              <w:gridCol w:w="1019"/>
              <w:gridCol w:w="1754"/>
              <w:gridCol w:w="1248"/>
              <w:gridCol w:w="855"/>
              <w:gridCol w:w="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37" w:type="dxa"/>
                  <w:vMerge w:val="restart"/>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主要生产单元</w:t>
                  </w:r>
                </w:p>
              </w:tc>
              <w:tc>
                <w:tcPr>
                  <w:tcW w:w="1204" w:type="dxa"/>
                  <w:vMerge w:val="restart"/>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生产</w:t>
                  </w:r>
                </w:p>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设施</w:t>
                  </w:r>
                </w:p>
              </w:tc>
              <w:tc>
                <w:tcPr>
                  <w:tcW w:w="884" w:type="dxa"/>
                  <w:vMerge w:val="restart"/>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废气产污</w:t>
                  </w:r>
                </w:p>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环节</w:t>
                  </w:r>
                </w:p>
              </w:tc>
              <w:tc>
                <w:tcPr>
                  <w:tcW w:w="1019" w:type="dxa"/>
                  <w:vMerge w:val="restart"/>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污染物</w:t>
                  </w:r>
                </w:p>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种类</w:t>
                  </w:r>
                </w:p>
              </w:tc>
              <w:tc>
                <w:tcPr>
                  <w:tcW w:w="1754" w:type="dxa"/>
                  <w:vMerge w:val="restart"/>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排放</w:t>
                  </w:r>
                </w:p>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形式</w:t>
                  </w:r>
                </w:p>
              </w:tc>
              <w:tc>
                <w:tcPr>
                  <w:tcW w:w="2103" w:type="dxa"/>
                  <w:gridSpan w:val="2"/>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污染治理设施</w:t>
                  </w:r>
                </w:p>
              </w:tc>
              <w:tc>
                <w:tcPr>
                  <w:tcW w:w="604" w:type="dxa"/>
                  <w:vMerge w:val="restart"/>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37" w:type="dxa"/>
                  <w:vMerge w:val="continue"/>
                  <w:vAlign w:val="center"/>
                </w:tcPr>
                <w:p>
                  <w:pPr>
                    <w:adjustRightInd w:val="0"/>
                    <w:snapToGrid w:val="0"/>
                    <w:jc w:val="center"/>
                    <w:outlineLvl w:val="0"/>
                    <w:rPr>
                      <w:rFonts w:hint="default" w:ascii="Times New Roman" w:hAnsi="Times New Roman" w:cs="Times New Roman"/>
                      <w:color w:val="auto"/>
                      <w:kern w:val="2"/>
                      <w:sz w:val="21"/>
                      <w:szCs w:val="21"/>
                      <w:highlight w:val="none"/>
                    </w:rPr>
                  </w:pPr>
                </w:p>
              </w:tc>
              <w:tc>
                <w:tcPr>
                  <w:tcW w:w="1204" w:type="dxa"/>
                  <w:vMerge w:val="continue"/>
                  <w:vAlign w:val="center"/>
                </w:tcPr>
                <w:p>
                  <w:pPr>
                    <w:adjustRightInd w:val="0"/>
                    <w:snapToGrid w:val="0"/>
                    <w:jc w:val="center"/>
                    <w:outlineLvl w:val="0"/>
                    <w:rPr>
                      <w:rFonts w:hint="default" w:ascii="Times New Roman" w:hAnsi="Times New Roman" w:cs="Times New Roman"/>
                      <w:color w:val="auto"/>
                      <w:kern w:val="2"/>
                      <w:sz w:val="21"/>
                      <w:szCs w:val="21"/>
                      <w:highlight w:val="none"/>
                    </w:rPr>
                  </w:pPr>
                </w:p>
              </w:tc>
              <w:tc>
                <w:tcPr>
                  <w:tcW w:w="884" w:type="dxa"/>
                  <w:vMerge w:val="continue"/>
                  <w:vAlign w:val="center"/>
                </w:tcPr>
                <w:p>
                  <w:pPr>
                    <w:adjustRightInd w:val="0"/>
                    <w:snapToGrid w:val="0"/>
                    <w:jc w:val="center"/>
                    <w:outlineLvl w:val="0"/>
                    <w:rPr>
                      <w:rFonts w:hint="default" w:ascii="Times New Roman" w:hAnsi="Times New Roman" w:cs="Times New Roman"/>
                      <w:color w:val="auto"/>
                      <w:kern w:val="2"/>
                      <w:sz w:val="21"/>
                      <w:szCs w:val="21"/>
                      <w:highlight w:val="none"/>
                    </w:rPr>
                  </w:pPr>
                </w:p>
              </w:tc>
              <w:tc>
                <w:tcPr>
                  <w:tcW w:w="1019" w:type="dxa"/>
                  <w:vMerge w:val="continue"/>
                  <w:vAlign w:val="center"/>
                </w:tcPr>
                <w:p>
                  <w:pPr>
                    <w:adjustRightInd w:val="0"/>
                    <w:snapToGrid w:val="0"/>
                    <w:jc w:val="center"/>
                    <w:outlineLvl w:val="0"/>
                    <w:rPr>
                      <w:rFonts w:hint="default" w:ascii="Times New Roman" w:hAnsi="Times New Roman" w:cs="Times New Roman"/>
                      <w:color w:val="auto"/>
                      <w:kern w:val="2"/>
                      <w:sz w:val="21"/>
                      <w:szCs w:val="21"/>
                      <w:highlight w:val="none"/>
                    </w:rPr>
                  </w:pPr>
                </w:p>
              </w:tc>
              <w:tc>
                <w:tcPr>
                  <w:tcW w:w="1754" w:type="dxa"/>
                  <w:vMerge w:val="continue"/>
                  <w:vAlign w:val="center"/>
                </w:tcPr>
                <w:p>
                  <w:pPr>
                    <w:adjustRightInd w:val="0"/>
                    <w:snapToGrid w:val="0"/>
                    <w:jc w:val="center"/>
                    <w:outlineLvl w:val="0"/>
                    <w:rPr>
                      <w:rFonts w:hint="default" w:ascii="Times New Roman" w:hAnsi="Times New Roman" w:cs="Times New Roman"/>
                      <w:color w:val="auto"/>
                      <w:kern w:val="2"/>
                      <w:sz w:val="21"/>
                      <w:szCs w:val="21"/>
                      <w:highlight w:val="none"/>
                    </w:rPr>
                  </w:pPr>
                </w:p>
              </w:tc>
              <w:tc>
                <w:tcPr>
                  <w:tcW w:w="1248"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名称及工艺</w:t>
                  </w:r>
                </w:p>
              </w:tc>
              <w:tc>
                <w:tcPr>
                  <w:tcW w:w="855"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是否为可行性技术</w:t>
                  </w:r>
                </w:p>
              </w:tc>
              <w:tc>
                <w:tcPr>
                  <w:tcW w:w="604" w:type="dxa"/>
                  <w:vMerge w:val="continue"/>
                  <w:vAlign w:val="center"/>
                </w:tcPr>
                <w:p>
                  <w:pPr>
                    <w:adjustRightInd w:val="0"/>
                    <w:snapToGrid w:val="0"/>
                    <w:jc w:val="center"/>
                    <w:outlineLvl w:val="0"/>
                    <w:rPr>
                      <w:rFonts w:hint="default" w:ascii="Times New Roman" w:hAnsi="Times New Roman"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58" w:hRule="atLeast"/>
                <w:jc w:val="center"/>
              </w:trPr>
              <w:tc>
                <w:tcPr>
                  <w:tcW w:w="937"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排气筒P1</w:t>
                  </w:r>
                </w:p>
              </w:tc>
              <w:tc>
                <w:tcPr>
                  <w:tcW w:w="1204" w:type="dxa"/>
                  <w:vAlign w:val="center"/>
                </w:tcPr>
                <w:p>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火焰切割机、埋弧焊机、二保焊机、电焊机</w:t>
                  </w:r>
                  <w:r>
                    <w:rPr>
                      <w:rFonts w:hint="eastAsia" w:cs="Times New Roman"/>
                      <w:color w:val="auto"/>
                      <w:kern w:val="2"/>
                      <w:sz w:val="21"/>
                      <w:szCs w:val="21"/>
                      <w:highlight w:val="none"/>
                      <w:lang w:eastAsia="zh-CN"/>
                    </w:rPr>
                    <w:t>、</w:t>
                  </w:r>
                  <w:r>
                    <w:rPr>
                      <w:rFonts w:hint="eastAsia" w:cs="Times New Roman"/>
                      <w:color w:val="auto"/>
                      <w:kern w:val="2"/>
                      <w:sz w:val="21"/>
                      <w:szCs w:val="21"/>
                      <w:highlight w:val="none"/>
                      <w:lang w:val="en-US" w:eastAsia="zh-CN"/>
                    </w:rPr>
                    <w:t>角磨机</w:t>
                  </w:r>
                </w:p>
              </w:tc>
              <w:tc>
                <w:tcPr>
                  <w:tcW w:w="884" w:type="dxa"/>
                  <w:vAlign w:val="center"/>
                </w:tcPr>
                <w:p>
                  <w:pPr>
                    <w:adjustRightInd w:val="0"/>
                    <w:snapToGrid w:val="0"/>
                    <w:jc w:val="center"/>
                    <w:outlineLvl w:val="0"/>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切割、焊接、打磨</w:t>
                  </w:r>
                </w:p>
              </w:tc>
              <w:tc>
                <w:tcPr>
                  <w:tcW w:w="1019"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颗粒物</w:t>
                  </w:r>
                </w:p>
              </w:tc>
              <w:tc>
                <w:tcPr>
                  <w:tcW w:w="1754" w:type="dxa"/>
                  <w:vAlign w:val="center"/>
                </w:tcPr>
                <w:p>
                  <w:pP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处理后颗粒物通过管道汇总至1根1</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m高排气筒P1排放。</w:t>
                  </w:r>
                </w:p>
              </w:tc>
              <w:tc>
                <w:tcPr>
                  <w:tcW w:w="1248" w:type="dxa"/>
                  <w:vAlign w:val="center"/>
                </w:tcPr>
                <w:p>
                  <w:pPr>
                    <w:jc w:val="center"/>
                    <w:rPr>
                      <w:rFonts w:hint="eastAsia"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名称：除尘设施</w:t>
                  </w:r>
                </w:p>
                <w:p>
                  <w:pPr>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rPr>
                    <w:t>工艺：布袋除尘器</w:t>
                  </w:r>
                </w:p>
              </w:tc>
              <w:tc>
                <w:tcPr>
                  <w:tcW w:w="855"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可行</w:t>
                  </w:r>
                </w:p>
              </w:tc>
              <w:tc>
                <w:tcPr>
                  <w:tcW w:w="604" w:type="dxa"/>
                  <w:vMerge w:val="restart"/>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37" w:type="dxa"/>
                  <w:vAlign w:val="center"/>
                </w:tcPr>
                <w:p>
                  <w:pPr>
                    <w:adjustRightInd w:val="0"/>
                    <w:snapToGrid w:val="0"/>
                    <w:jc w:val="center"/>
                    <w:outlineLvl w:val="0"/>
                    <w:rPr>
                      <w:rFonts w:hint="eastAsia" w:eastAsia="宋体"/>
                      <w:color w:val="auto"/>
                      <w:highlight w:val="none"/>
                      <w:lang w:val="en-US" w:eastAsia="zh-CN"/>
                    </w:rPr>
                  </w:pPr>
                  <w:r>
                    <w:rPr>
                      <w:rFonts w:hint="default" w:ascii="Times New Roman" w:hAnsi="Times New Roman" w:cs="Times New Roman"/>
                      <w:color w:val="auto"/>
                      <w:kern w:val="2"/>
                      <w:sz w:val="21"/>
                      <w:szCs w:val="21"/>
                      <w:highlight w:val="none"/>
                    </w:rPr>
                    <w:t>排气筒P</w:t>
                  </w:r>
                  <w:r>
                    <w:rPr>
                      <w:rFonts w:hint="eastAsia" w:ascii="Times New Roman" w:hAnsi="Times New Roman" w:cs="Times New Roman"/>
                      <w:color w:val="auto"/>
                      <w:kern w:val="2"/>
                      <w:sz w:val="21"/>
                      <w:szCs w:val="21"/>
                      <w:highlight w:val="none"/>
                      <w:lang w:val="en-US" w:eastAsia="zh-CN"/>
                    </w:rPr>
                    <w:t>2</w:t>
                  </w:r>
                </w:p>
              </w:tc>
              <w:tc>
                <w:tcPr>
                  <w:tcW w:w="1204" w:type="dxa"/>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火焰切割机、半自动火焰切割机、埋弧焊机、二保焊机、电焊机</w:t>
                  </w:r>
                  <w:r>
                    <w:rPr>
                      <w:rFonts w:hint="eastAsia" w:cs="Times New Roman"/>
                      <w:color w:val="auto"/>
                      <w:kern w:val="2"/>
                      <w:sz w:val="21"/>
                      <w:szCs w:val="21"/>
                      <w:highlight w:val="none"/>
                      <w:lang w:eastAsia="zh-CN"/>
                    </w:rPr>
                    <w:t>、</w:t>
                  </w:r>
                  <w:r>
                    <w:rPr>
                      <w:rFonts w:hint="eastAsia" w:cs="Times New Roman"/>
                      <w:color w:val="auto"/>
                      <w:kern w:val="2"/>
                      <w:sz w:val="21"/>
                      <w:szCs w:val="21"/>
                      <w:highlight w:val="none"/>
                      <w:lang w:val="en-US" w:eastAsia="zh-CN"/>
                    </w:rPr>
                    <w:t>角磨机</w:t>
                  </w:r>
                </w:p>
              </w:tc>
              <w:tc>
                <w:tcPr>
                  <w:tcW w:w="884" w:type="dxa"/>
                  <w:vAlign w:val="center"/>
                </w:tcPr>
                <w:p>
                  <w:pPr>
                    <w:adjustRightInd w:val="0"/>
                    <w:snapToGrid w:val="0"/>
                    <w:jc w:val="center"/>
                    <w:outlineLvl w:val="0"/>
                    <w:rPr>
                      <w:rFonts w:hint="default" w:ascii="Times New Roman" w:hAnsi="Times New Roman" w:cs="Times New Roman"/>
                      <w:color w:val="auto"/>
                      <w:kern w:val="2"/>
                      <w:sz w:val="21"/>
                      <w:szCs w:val="21"/>
                      <w:highlight w:val="none"/>
                      <w:lang w:val="en-US"/>
                    </w:rPr>
                  </w:pPr>
                  <w:r>
                    <w:rPr>
                      <w:rFonts w:hint="eastAsia" w:cs="Times New Roman"/>
                      <w:color w:val="auto"/>
                      <w:kern w:val="2"/>
                      <w:sz w:val="21"/>
                      <w:szCs w:val="21"/>
                      <w:highlight w:val="none"/>
                      <w:lang w:val="en-US" w:eastAsia="zh-CN"/>
                    </w:rPr>
                    <w:t>切割、焊接、打磨</w:t>
                  </w:r>
                </w:p>
              </w:tc>
              <w:tc>
                <w:tcPr>
                  <w:tcW w:w="1019"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颗粒物</w:t>
                  </w:r>
                </w:p>
              </w:tc>
              <w:tc>
                <w:tcPr>
                  <w:tcW w:w="1754" w:type="dxa"/>
                  <w:vAlign w:val="center"/>
                </w:tcPr>
                <w:p>
                  <w:pP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处理后颗粒物通过管道汇总至1根1</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m高排气筒P</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排放。</w:t>
                  </w:r>
                </w:p>
              </w:tc>
              <w:tc>
                <w:tcPr>
                  <w:tcW w:w="1248" w:type="dxa"/>
                  <w:vAlign w:val="center"/>
                </w:tcPr>
                <w:p>
                  <w:pPr>
                    <w:jc w:val="center"/>
                    <w:rPr>
                      <w:rFonts w:hint="eastAsia"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名称：除尘设施</w:t>
                  </w:r>
                </w:p>
                <w:p>
                  <w:pPr>
                    <w:jc w:val="center"/>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工艺：布袋除尘器</w:t>
                  </w:r>
                </w:p>
              </w:tc>
              <w:tc>
                <w:tcPr>
                  <w:tcW w:w="855"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可行</w:t>
                  </w:r>
                </w:p>
              </w:tc>
              <w:tc>
                <w:tcPr>
                  <w:tcW w:w="604" w:type="dxa"/>
                  <w:vMerge w:val="continue"/>
                  <w:vAlign w:val="center"/>
                </w:tcPr>
                <w:p>
                  <w:pPr>
                    <w:jc w:val="center"/>
                    <w:rPr>
                      <w:rFonts w:hint="default" w:ascii="Times New Roman" w:hAnsi="Times New Roman"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37" w:type="dxa"/>
                  <w:vAlign w:val="center"/>
                </w:tcPr>
                <w:p>
                  <w:pPr>
                    <w:adjustRightInd w:val="0"/>
                    <w:snapToGrid w:val="0"/>
                    <w:jc w:val="center"/>
                    <w:outlineLvl w:val="0"/>
                    <w:rPr>
                      <w:rFonts w:hint="eastAsia" w:eastAsia="宋体"/>
                      <w:color w:val="auto"/>
                      <w:highlight w:val="none"/>
                      <w:lang w:val="en-US" w:eastAsia="zh-CN"/>
                    </w:rPr>
                  </w:pPr>
                  <w:r>
                    <w:rPr>
                      <w:rFonts w:hint="default" w:ascii="Times New Roman" w:hAnsi="Times New Roman" w:cs="Times New Roman"/>
                      <w:color w:val="auto"/>
                      <w:kern w:val="2"/>
                      <w:sz w:val="21"/>
                      <w:szCs w:val="21"/>
                      <w:highlight w:val="none"/>
                    </w:rPr>
                    <w:t>排气筒P</w:t>
                  </w:r>
                  <w:r>
                    <w:rPr>
                      <w:rFonts w:hint="eastAsia" w:ascii="Times New Roman" w:hAnsi="Times New Roman" w:cs="Times New Roman"/>
                      <w:color w:val="auto"/>
                      <w:kern w:val="2"/>
                      <w:sz w:val="21"/>
                      <w:szCs w:val="21"/>
                      <w:highlight w:val="none"/>
                      <w:lang w:val="en-US" w:eastAsia="zh-CN"/>
                    </w:rPr>
                    <w:t>3</w:t>
                  </w:r>
                </w:p>
              </w:tc>
              <w:tc>
                <w:tcPr>
                  <w:tcW w:w="1204" w:type="dxa"/>
                  <w:vAlign w:val="center"/>
                </w:tcPr>
                <w:p>
                  <w:pPr>
                    <w:jc w:val="center"/>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sz w:val="21"/>
                      <w:szCs w:val="21"/>
                      <w:highlight w:val="none"/>
                      <w:lang w:val="en-US" w:eastAsia="zh-CN"/>
                    </w:rPr>
                    <w:t>抛丸机</w:t>
                  </w:r>
                </w:p>
              </w:tc>
              <w:tc>
                <w:tcPr>
                  <w:tcW w:w="884"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抛丸</w:t>
                  </w:r>
                </w:p>
              </w:tc>
              <w:tc>
                <w:tcPr>
                  <w:tcW w:w="1019"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颗粒物</w:t>
                  </w:r>
                </w:p>
              </w:tc>
              <w:tc>
                <w:tcPr>
                  <w:tcW w:w="1754" w:type="dxa"/>
                  <w:vAlign w:val="center"/>
                </w:tcPr>
                <w:p>
                  <w:pP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处理后颗粒物通过管道汇总至1根1</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m高排气筒P</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排放。</w:t>
                  </w:r>
                </w:p>
              </w:tc>
              <w:tc>
                <w:tcPr>
                  <w:tcW w:w="1248" w:type="dxa"/>
                  <w:vAlign w:val="center"/>
                </w:tcPr>
                <w:p>
                  <w:pPr>
                    <w:jc w:val="center"/>
                    <w:rPr>
                      <w:rFonts w:hint="eastAsia"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名称：除尘设施</w:t>
                  </w:r>
                </w:p>
                <w:p>
                  <w:pPr>
                    <w:jc w:val="center"/>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工艺：布袋除尘器</w:t>
                  </w:r>
                </w:p>
              </w:tc>
              <w:tc>
                <w:tcPr>
                  <w:tcW w:w="855"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可行</w:t>
                  </w:r>
                </w:p>
              </w:tc>
              <w:tc>
                <w:tcPr>
                  <w:tcW w:w="604" w:type="dxa"/>
                  <w:vMerge w:val="continue"/>
                  <w:vAlign w:val="center"/>
                </w:tcPr>
                <w:p>
                  <w:pPr>
                    <w:jc w:val="center"/>
                    <w:rPr>
                      <w:rFonts w:hint="default" w:ascii="Times New Roman" w:hAnsi="Times New Roman"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37" w:type="dxa"/>
                  <w:vAlign w:val="center"/>
                </w:tcPr>
                <w:p>
                  <w:pPr>
                    <w:adjustRightInd w:val="0"/>
                    <w:snapToGrid w:val="0"/>
                    <w:jc w:val="center"/>
                    <w:outlineLvl w:val="0"/>
                    <w:rPr>
                      <w:rFonts w:hint="eastAsia" w:eastAsia="宋体"/>
                      <w:color w:val="auto"/>
                      <w:highlight w:val="none"/>
                      <w:lang w:val="en-US" w:eastAsia="zh-CN"/>
                    </w:rPr>
                  </w:pPr>
                  <w:r>
                    <w:rPr>
                      <w:rFonts w:hint="default" w:ascii="Times New Roman" w:hAnsi="Times New Roman" w:cs="Times New Roman"/>
                      <w:color w:val="auto"/>
                      <w:kern w:val="2"/>
                      <w:sz w:val="21"/>
                      <w:szCs w:val="21"/>
                      <w:highlight w:val="none"/>
                    </w:rPr>
                    <w:t>排气筒P</w:t>
                  </w:r>
                  <w:r>
                    <w:rPr>
                      <w:rFonts w:hint="eastAsia" w:ascii="Times New Roman" w:hAnsi="Times New Roman" w:cs="Times New Roman"/>
                      <w:color w:val="auto"/>
                      <w:kern w:val="2"/>
                      <w:sz w:val="21"/>
                      <w:szCs w:val="21"/>
                      <w:highlight w:val="none"/>
                      <w:lang w:val="en-US" w:eastAsia="zh-CN"/>
                    </w:rPr>
                    <w:t>4</w:t>
                  </w:r>
                </w:p>
              </w:tc>
              <w:tc>
                <w:tcPr>
                  <w:tcW w:w="1204" w:type="dxa"/>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火焰切割机、埋弧焊机、二保焊机、电焊机</w:t>
                  </w:r>
                  <w:r>
                    <w:rPr>
                      <w:rFonts w:hint="eastAsia" w:cs="Times New Roman"/>
                      <w:color w:val="auto"/>
                      <w:kern w:val="2"/>
                      <w:sz w:val="21"/>
                      <w:szCs w:val="21"/>
                      <w:highlight w:val="none"/>
                      <w:lang w:eastAsia="zh-CN"/>
                    </w:rPr>
                    <w:t>、</w:t>
                  </w:r>
                  <w:r>
                    <w:rPr>
                      <w:rFonts w:hint="eastAsia" w:cs="Times New Roman"/>
                      <w:color w:val="auto"/>
                      <w:kern w:val="2"/>
                      <w:sz w:val="21"/>
                      <w:szCs w:val="21"/>
                      <w:highlight w:val="none"/>
                      <w:lang w:val="en-US" w:eastAsia="zh-CN"/>
                    </w:rPr>
                    <w:t>角磨机</w:t>
                  </w:r>
                </w:p>
              </w:tc>
              <w:tc>
                <w:tcPr>
                  <w:tcW w:w="884"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切割、焊接、打磨</w:t>
                  </w:r>
                </w:p>
              </w:tc>
              <w:tc>
                <w:tcPr>
                  <w:tcW w:w="1019"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颗粒物</w:t>
                  </w:r>
                </w:p>
              </w:tc>
              <w:tc>
                <w:tcPr>
                  <w:tcW w:w="1754" w:type="dxa"/>
                  <w:vAlign w:val="center"/>
                </w:tcPr>
                <w:p>
                  <w:pP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处理后颗粒物通过管道汇总至1根1</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m高排气筒P</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排放。</w:t>
                  </w:r>
                </w:p>
              </w:tc>
              <w:tc>
                <w:tcPr>
                  <w:tcW w:w="1248" w:type="dxa"/>
                  <w:vAlign w:val="center"/>
                </w:tcPr>
                <w:p>
                  <w:pPr>
                    <w:jc w:val="center"/>
                    <w:rPr>
                      <w:rFonts w:hint="eastAsia"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名称：除尘设施</w:t>
                  </w:r>
                </w:p>
                <w:p>
                  <w:pPr>
                    <w:jc w:val="center"/>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工艺：布袋除尘器</w:t>
                  </w:r>
                </w:p>
              </w:tc>
              <w:tc>
                <w:tcPr>
                  <w:tcW w:w="855"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可行</w:t>
                  </w:r>
                </w:p>
              </w:tc>
              <w:tc>
                <w:tcPr>
                  <w:tcW w:w="604" w:type="dxa"/>
                  <w:vMerge w:val="continue"/>
                  <w:vAlign w:val="center"/>
                </w:tcPr>
                <w:p>
                  <w:pPr>
                    <w:jc w:val="center"/>
                    <w:rPr>
                      <w:rFonts w:hint="default" w:ascii="Times New Roman" w:hAnsi="Times New Roman"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37" w:type="dxa"/>
                  <w:vAlign w:val="center"/>
                </w:tcPr>
                <w:p>
                  <w:pPr>
                    <w:adjustRightInd w:val="0"/>
                    <w:snapToGrid w:val="0"/>
                    <w:jc w:val="center"/>
                    <w:outlineLvl w:val="0"/>
                    <w:rPr>
                      <w:rFonts w:hint="eastAsia" w:eastAsia="宋体"/>
                      <w:color w:val="auto"/>
                      <w:highlight w:val="none"/>
                      <w:lang w:val="en-US" w:eastAsia="zh-CN"/>
                    </w:rPr>
                  </w:pPr>
                  <w:r>
                    <w:rPr>
                      <w:rFonts w:hint="default" w:ascii="Times New Roman" w:hAnsi="Times New Roman" w:cs="Times New Roman"/>
                      <w:color w:val="auto"/>
                      <w:kern w:val="2"/>
                      <w:sz w:val="21"/>
                      <w:szCs w:val="21"/>
                      <w:highlight w:val="none"/>
                    </w:rPr>
                    <w:t>排气筒P</w:t>
                  </w:r>
                  <w:r>
                    <w:rPr>
                      <w:rFonts w:hint="eastAsia" w:ascii="Times New Roman" w:hAnsi="Times New Roman" w:cs="Times New Roman"/>
                      <w:color w:val="auto"/>
                      <w:kern w:val="2"/>
                      <w:sz w:val="21"/>
                      <w:szCs w:val="21"/>
                      <w:highlight w:val="none"/>
                      <w:lang w:val="en-US" w:eastAsia="zh-CN"/>
                    </w:rPr>
                    <w:t>5</w:t>
                  </w:r>
                </w:p>
              </w:tc>
              <w:tc>
                <w:tcPr>
                  <w:tcW w:w="1204" w:type="dxa"/>
                  <w:vAlign w:val="center"/>
                </w:tcPr>
                <w:p>
                  <w:pPr>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抛丸机</w:t>
                  </w:r>
                </w:p>
              </w:tc>
              <w:tc>
                <w:tcPr>
                  <w:tcW w:w="884"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抛丸</w:t>
                  </w:r>
                </w:p>
              </w:tc>
              <w:tc>
                <w:tcPr>
                  <w:tcW w:w="1019"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颗粒物</w:t>
                  </w:r>
                </w:p>
              </w:tc>
              <w:tc>
                <w:tcPr>
                  <w:tcW w:w="1754" w:type="dxa"/>
                  <w:vAlign w:val="center"/>
                </w:tcPr>
                <w:p>
                  <w:pP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处理后颗粒物通过管道汇总至1根1</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m高排气筒P</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排放。</w:t>
                  </w:r>
                </w:p>
              </w:tc>
              <w:tc>
                <w:tcPr>
                  <w:tcW w:w="1248" w:type="dxa"/>
                  <w:vAlign w:val="center"/>
                </w:tcPr>
                <w:p>
                  <w:pPr>
                    <w:jc w:val="center"/>
                    <w:rPr>
                      <w:rFonts w:hint="eastAsia"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名称：除尘设施</w:t>
                  </w:r>
                </w:p>
                <w:p>
                  <w:pPr>
                    <w:jc w:val="center"/>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工艺：布袋除尘器</w:t>
                  </w:r>
                </w:p>
              </w:tc>
              <w:tc>
                <w:tcPr>
                  <w:tcW w:w="855"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可行</w:t>
                  </w:r>
                </w:p>
              </w:tc>
              <w:tc>
                <w:tcPr>
                  <w:tcW w:w="604" w:type="dxa"/>
                  <w:vMerge w:val="continue"/>
                  <w:vAlign w:val="center"/>
                </w:tcPr>
                <w:p>
                  <w:pPr>
                    <w:jc w:val="center"/>
                    <w:rPr>
                      <w:rFonts w:hint="default" w:ascii="Times New Roman" w:hAnsi="Times New Roman"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30" w:hRule="atLeast"/>
                <w:jc w:val="center"/>
              </w:trPr>
              <w:tc>
                <w:tcPr>
                  <w:tcW w:w="937" w:type="dxa"/>
                  <w:vAlign w:val="center"/>
                </w:tcPr>
                <w:p>
                  <w:pPr>
                    <w:adjustRightInd w:val="0"/>
                    <w:snapToGrid w:val="0"/>
                    <w:jc w:val="center"/>
                    <w:outlineLvl w:val="0"/>
                    <w:rPr>
                      <w:rFonts w:hint="eastAsia"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排气筒P</w:t>
                  </w:r>
                  <w:r>
                    <w:rPr>
                      <w:rFonts w:hint="eastAsia" w:ascii="Times New Roman" w:hAnsi="Times New Roman" w:cs="Times New Roman"/>
                      <w:color w:val="auto"/>
                      <w:kern w:val="2"/>
                      <w:sz w:val="21"/>
                      <w:szCs w:val="21"/>
                      <w:highlight w:val="none"/>
                      <w:lang w:val="en-US" w:eastAsia="zh-CN"/>
                    </w:rPr>
                    <w:t>6</w:t>
                  </w:r>
                </w:p>
              </w:tc>
              <w:tc>
                <w:tcPr>
                  <w:tcW w:w="1204"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eastAsia" w:cs="Times New Roman"/>
                      <w:color w:val="auto"/>
                      <w:sz w:val="21"/>
                      <w:szCs w:val="21"/>
                      <w:highlight w:val="none"/>
                      <w:lang w:val="en-US" w:eastAsia="zh-CN"/>
                    </w:rPr>
                    <w:t>伸缩式</w:t>
                  </w:r>
                  <w:r>
                    <w:rPr>
                      <w:rFonts w:hint="default" w:ascii="Times New Roman" w:hAnsi="Times New Roman" w:cs="Times New Roman"/>
                      <w:color w:val="auto"/>
                      <w:sz w:val="21"/>
                      <w:szCs w:val="21"/>
                      <w:highlight w:val="none"/>
                    </w:rPr>
                    <w:t>喷漆房</w:t>
                  </w:r>
                </w:p>
              </w:tc>
              <w:tc>
                <w:tcPr>
                  <w:tcW w:w="884" w:type="dxa"/>
                  <w:vAlign w:val="center"/>
                </w:tcPr>
                <w:p>
                  <w:pPr>
                    <w:adjustRightInd w:val="0"/>
                    <w:snapToGrid w:val="0"/>
                    <w:jc w:val="center"/>
                    <w:outlineLvl w:val="0"/>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调漆、</w:t>
                  </w:r>
                  <w:r>
                    <w:rPr>
                      <w:rFonts w:hint="default" w:ascii="Times New Roman" w:hAnsi="Times New Roman" w:cs="Times New Roman"/>
                      <w:color w:val="auto"/>
                      <w:kern w:val="2"/>
                      <w:sz w:val="21"/>
                      <w:szCs w:val="21"/>
                      <w:highlight w:val="none"/>
                    </w:rPr>
                    <w:t>喷漆</w:t>
                  </w:r>
                  <w:r>
                    <w:rPr>
                      <w:rFonts w:hint="eastAsia" w:cs="Times New Roman"/>
                      <w:color w:val="auto"/>
                      <w:kern w:val="2"/>
                      <w:sz w:val="21"/>
                      <w:szCs w:val="21"/>
                      <w:highlight w:val="none"/>
                      <w:lang w:eastAsia="zh-CN"/>
                    </w:rPr>
                    <w:t>、</w:t>
                  </w:r>
                  <w:r>
                    <w:rPr>
                      <w:rFonts w:hint="eastAsia" w:cs="Times New Roman"/>
                      <w:color w:val="auto"/>
                      <w:kern w:val="2"/>
                      <w:sz w:val="21"/>
                      <w:szCs w:val="21"/>
                      <w:highlight w:val="none"/>
                      <w:lang w:val="en-US" w:eastAsia="zh-CN"/>
                    </w:rPr>
                    <w:t>晾干</w:t>
                  </w:r>
                </w:p>
              </w:tc>
              <w:tc>
                <w:tcPr>
                  <w:tcW w:w="1019"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TRVOC、非甲烷总烃、二甲苯、</w:t>
                  </w:r>
                  <w:r>
                    <w:rPr>
                      <w:rFonts w:hint="eastAsia" w:cs="Times New Roman"/>
                      <w:color w:val="auto"/>
                      <w:kern w:val="2"/>
                      <w:sz w:val="21"/>
                      <w:szCs w:val="21"/>
                      <w:highlight w:val="none"/>
                      <w:lang w:val="en-US" w:eastAsia="zh-CN"/>
                    </w:rPr>
                    <w:t>乙苯、</w:t>
                  </w:r>
                  <w:r>
                    <w:rPr>
                      <w:rFonts w:hint="default" w:ascii="Times New Roman" w:hAnsi="Times New Roman" w:cs="Times New Roman"/>
                      <w:color w:val="auto"/>
                      <w:kern w:val="2"/>
                      <w:sz w:val="21"/>
                      <w:szCs w:val="21"/>
                      <w:highlight w:val="none"/>
                    </w:rPr>
                    <w:t>臭气浓度</w:t>
                  </w:r>
                </w:p>
              </w:tc>
              <w:tc>
                <w:tcPr>
                  <w:tcW w:w="1754" w:type="dxa"/>
                  <w:vAlign w:val="center"/>
                </w:tcPr>
                <w:p>
                  <w:pPr>
                    <w:adjustRightInd w:val="0"/>
                    <w:snapToGrid w:val="0"/>
                    <w:jc w:val="center"/>
                    <w:outlineLvl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处理后颗粒物通过管道汇总至1根1</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m高排气筒P</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排放。</w:t>
                  </w:r>
                </w:p>
              </w:tc>
              <w:tc>
                <w:tcPr>
                  <w:tcW w:w="1248" w:type="dxa"/>
                  <w:vAlign w:val="center"/>
                </w:tcPr>
                <w:p>
                  <w:pPr>
                    <w:jc w:val="center"/>
                    <w:rPr>
                      <w:rFonts w:hint="eastAsia"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名称：有机废气处理设施</w:t>
                  </w:r>
                </w:p>
                <w:p>
                  <w:pPr>
                    <w:jc w:val="center"/>
                    <w:rPr>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rPr>
                    <w:t>工艺：活性炭吸附、脱附催化燃烧装置</w:t>
                  </w:r>
                </w:p>
              </w:tc>
              <w:tc>
                <w:tcPr>
                  <w:tcW w:w="855" w:type="dxa"/>
                  <w:vAlign w:val="center"/>
                </w:tcPr>
                <w:p>
                  <w:pPr>
                    <w:adjustRightInd w:val="0"/>
                    <w:snapToGrid w:val="0"/>
                    <w:jc w:val="center"/>
                    <w:outlineLvl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可行</w:t>
                  </w:r>
                </w:p>
              </w:tc>
              <w:tc>
                <w:tcPr>
                  <w:tcW w:w="604" w:type="dxa"/>
                  <w:vMerge w:val="continue"/>
                  <w:vAlign w:val="center"/>
                </w:tcPr>
                <w:p>
                  <w:pPr>
                    <w:adjustRightInd w:val="0"/>
                    <w:snapToGrid w:val="0"/>
                    <w:jc w:val="center"/>
                    <w:outlineLvl w:val="0"/>
                    <w:rPr>
                      <w:rFonts w:hint="default" w:ascii="Times New Roman" w:hAnsi="Times New Roman" w:cs="Times New Roman"/>
                      <w:color w:val="auto"/>
                      <w:kern w:val="2"/>
                      <w:sz w:val="21"/>
                      <w:szCs w:val="21"/>
                      <w:highlight w:val="none"/>
                    </w:rPr>
                  </w:pPr>
                </w:p>
              </w:tc>
            </w:tr>
          </w:tbl>
          <w:p>
            <w:pPr>
              <w:spacing w:line="360" w:lineRule="auto"/>
              <w:ind w:firstLine="482" w:firstLineChars="20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1.1污染物产生及排放情况</w:t>
            </w:r>
          </w:p>
          <w:p>
            <w:pPr>
              <w:numPr>
                <w:ilvl w:val="0"/>
                <w:numId w:val="7"/>
              </w:numPr>
              <w:spacing w:line="360" w:lineRule="auto"/>
              <w:ind w:firstLine="480" w:firstLineChars="200"/>
              <w:rPr>
                <w:rFonts w:hint="default" w:ascii="Times New Roman" w:hAnsi="Times New Roman" w:cs="Times New Roman"/>
                <w:color w:val="auto"/>
                <w:highlight w:val="none"/>
              </w:rPr>
            </w:pPr>
            <w:r>
              <w:rPr>
                <w:rFonts w:hint="eastAsia" w:cs="Times New Roman"/>
                <w:color w:val="auto"/>
                <w:highlight w:val="none"/>
                <w:lang w:val="en-US" w:eastAsia="zh-CN"/>
              </w:rPr>
              <w:t>排气筒P1排放</w:t>
            </w:r>
            <w:r>
              <w:rPr>
                <w:rFonts w:hint="default" w:ascii="Times New Roman" w:hAnsi="Times New Roman" w:cs="Times New Roman"/>
                <w:color w:val="auto"/>
                <w:highlight w:val="none"/>
              </w:rPr>
              <w:t>颗粒物</w:t>
            </w:r>
          </w:p>
          <w:p>
            <w:pPr>
              <w:spacing w:line="360" w:lineRule="auto"/>
              <w:ind w:firstLine="480" w:firstLineChars="200"/>
              <w:rPr>
                <w:rFonts w:hint="eastAsia" w:ascii="Times New Roman" w:hAnsi="Times New Roman" w:eastAsia="宋体" w:cs="Times New Roman"/>
                <w:color w:val="auto"/>
                <w:kern w:val="24"/>
                <w:sz w:val="24"/>
                <w:highlight w:val="none"/>
                <w:lang w:val="en-US" w:eastAsia="zh-CN"/>
              </w:rPr>
            </w:pPr>
            <w:r>
              <w:rPr>
                <w:rFonts w:hint="default" w:ascii="Times New Roman" w:hAnsi="Times New Roman" w:cs="Times New Roman"/>
                <w:color w:val="auto"/>
                <w:highlight w:val="none"/>
              </w:rPr>
              <w:t>生产车间1内火焰切割机、埋弧焊机、二保焊机、电焊机</w:t>
            </w:r>
            <w:r>
              <w:rPr>
                <w:rFonts w:hint="eastAsia" w:cs="Times New Roman"/>
                <w:color w:val="auto"/>
                <w:highlight w:val="none"/>
                <w:lang w:eastAsia="zh-CN"/>
              </w:rPr>
              <w:t>、</w:t>
            </w:r>
            <w:r>
              <w:rPr>
                <w:rFonts w:hint="default" w:ascii="Times New Roman" w:hAnsi="Times New Roman" w:cs="Times New Roman"/>
                <w:color w:val="auto"/>
                <w:highlight w:val="none"/>
              </w:rPr>
              <w:t>角磨机工作过程中会产生颗粒物，火焰切割机产生的颗粒物经切割枪头处可移动集气罩收集，埋弧焊机、二保焊机、电焊机、角磨机产生的颗粒物经万向集气罩收集，上述颗粒物经收集后通过一套1#布袋除尘器+18m高排气筒P1有组织排放。</w:t>
            </w:r>
            <w:r>
              <w:rPr>
                <w:rFonts w:hint="eastAsia" w:ascii="Times New Roman" w:hAnsi="Times New Roman" w:cs="Times New Roman"/>
                <w:color w:val="auto"/>
                <w:kern w:val="24"/>
                <w:sz w:val="24"/>
                <w:highlight w:val="none"/>
              </w:rPr>
              <w:t>本项目在生产车间1内建设1台火焰切割机、</w:t>
            </w:r>
            <w:r>
              <w:rPr>
                <w:rFonts w:hint="eastAsia" w:ascii="Times New Roman" w:hAnsi="Times New Roman" w:cs="Times New Roman"/>
                <w:color w:val="auto"/>
                <w:kern w:val="24"/>
                <w:sz w:val="24"/>
                <w:highlight w:val="none"/>
                <w:lang w:val="en-US" w:eastAsia="zh-CN"/>
              </w:rPr>
              <w:t>2</w:t>
            </w:r>
            <w:r>
              <w:rPr>
                <w:rFonts w:hint="eastAsia" w:ascii="Times New Roman" w:hAnsi="Times New Roman" w:cs="Times New Roman"/>
                <w:color w:val="auto"/>
                <w:kern w:val="24"/>
                <w:sz w:val="24"/>
                <w:highlight w:val="none"/>
              </w:rPr>
              <w:t>台埋弧焊机、3台二保焊机、2台电焊机</w:t>
            </w:r>
            <w:r>
              <w:rPr>
                <w:rFonts w:hint="eastAsia" w:cs="Times New Roman"/>
                <w:color w:val="auto"/>
                <w:kern w:val="24"/>
                <w:sz w:val="24"/>
                <w:highlight w:val="none"/>
                <w:lang w:eastAsia="zh-CN"/>
              </w:rPr>
              <w:t>、</w:t>
            </w:r>
            <w:r>
              <w:rPr>
                <w:rFonts w:hint="eastAsia" w:cs="Times New Roman"/>
                <w:color w:val="auto"/>
                <w:kern w:val="24"/>
                <w:sz w:val="24"/>
                <w:highlight w:val="none"/>
                <w:lang w:val="en-US" w:eastAsia="zh-CN"/>
              </w:rPr>
              <w:t>2个打磨工位</w:t>
            </w:r>
            <w:r>
              <w:rPr>
                <w:rFonts w:hint="eastAsia" w:ascii="Times New Roman" w:hAnsi="Times New Roman" w:cs="Times New Roman"/>
                <w:color w:val="auto"/>
                <w:kern w:val="24"/>
                <w:sz w:val="24"/>
                <w:highlight w:val="none"/>
                <w:lang w:eastAsia="zh-CN"/>
              </w:rPr>
              <w:t>。</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①火焰切割废气</w:t>
            </w:r>
          </w:p>
          <w:p>
            <w:pPr>
              <w:spacing w:line="360" w:lineRule="auto"/>
              <w:ind w:firstLine="480" w:firstLineChars="200"/>
              <w:rPr>
                <w:rFonts w:hint="eastAsia" w:ascii="Times New Roman" w:hAnsi="Times New Roman" w:cs="Times New Roman"/>
                <w:color w:val="auto"/>
                <w:kern w:val="0"/>
                <w:sz w:val="24"/>
                <w:highlight w:val="none"/>
                <w:lang w:eastAsia="zh-CN"/>
              </w:rPr>
            </w:pPr>
            <w:r>
              <w:rPr>
                <w:rFonts w:ascii="Times New Roman" w:hAnsi="Times New Roman" w:cs="Times New Roman"/>
                <w:color w:val="auto"/>
                <w:kern w:val="0"/>
                <w:sz w:val="24"/>
                <w:highlight w:val="none"/>
              </w:rPr>
              <w:t>根据《大气环境影响评价实用技术》中对切割发尘量的介绍可知，切割时发尘的速率为40-80mg/min，本项目取最大值80mg/min，年切割时间约为</w:t>
            </w:r>
            <w:r>
              <w:rPr>
                <w:rFonts w:hint="eastAsia" w:ascii="Times New Roman" w:hAnsi="Times New Roman" w:cs="Times New Roman"/>
                <w:color w:val="auto"/>
                <w:kern w:val="0"/>
                <w:sz w:val="24"/>
                <w:highlight w:val="none"/>
                <w:lang w:val="en-US" w:eastAsia="zh-CN"/>
              </w:rPr>
              <w:t>18</w:t>
            </w:r>
            <w:r>
              <w:rPr>
                <w:rFonts w:ascii="Times New Roman" w:hAnsi="Times New Roman" w:cs="Times New Roman"/>
                <w:color w:val="auto"/>
                <w:kern w:val="0"/>
                <w:sz w:val="24"/>
                <w:highlight w:val="none"/>
              </w:rPr>
              <w:t>00h，平均每次2个枪头同时切割，故</w:t>
            </w:r>
            <w:r>
              <w:rPr>
                <w:rFonts w:hint="eastAsia" w:ascii="Times New Roman" w:hAnsi="Times New Roman" w:cs="Times New Roman"/>
                <w:color w:val="auto"/>
                <w:kern w:val="0"/>
                <w:sz w:val="24"/>
                <w:highlight w:val="none"/>
                <w:lang w:val="en-US" w:eastAsia="zh-CN"/>
              </w:rPr>
              <w:t>1</w:t>
            </w:r>
            <w:r>
              <w:rPr>
                <w:rFonts w:ascii="Times New Roman" w:hAnsi="Times New Roman" w:cs="Times New Roman"/>
                <w:color w:val="auto"/>
                <w:kern w:val="0"/>
                <w:sz w:val="24"/>
                <w:highlight w:val="none"/>
              </w:rPr>
              <w:t>台切割机粉尘年产生量为</w:t>
            </w:r>
            <w:r>
              <w:rPr>
                <w:rFonts w:hint="eastAsia" w:ascii="Times New Roman" w:hAnsi="Times New Roman" w:cs="Times New Roman"/>
                <w:color w:val="auto"/>
                <w:kern w:val="0"/>
                <w:sz w:val="24"/>
                <w:highlight w:val="none"/>
                <w:lang w:val="en-US" w:eastAsia="zh-CN"/>
              </w:rPr>
              <w:t>17.28</w:t>
            </w:r>
            <w:r>
              <w:rPr>
                <w:rFonts w:ascii="Times New Roman" w:hAnsi="Times New Roman" w:cs="Times New Roman"/>
                <w:color w:val="auto"/>
                <w:kern w:val="0"/>
                <w:sz w:val="24"/>
                <w:highlight w:val="none"/>
              </w:rPr>
              <w:t>kg/a，则颗粒物产生</w:t>
            </w:r>
            <w:r>
              <w:rPr>
                <w:rFonts w:hint="eastAsia" w:ascii="Times New Roman" w:hAnsi="Times New Roman" w:cs="Times New Roman"/>
                <w:color w:val="auto"/>
                <w:kern w:val="0"/>
                <w:sz w:val="24"/>
                <w:highlight w:val="none"/>
                <w:lang w:val="en-US" w:eastAsia="zh-CN"/>
              </w:rPr>
              <w:t>速率</w:t>
            </w:r>
            <w:r>
              <w:rPr>
                <w:rFonts w:ascii="Times New Roman" w:hAnsi="Times New Roman" w:cs="Times New Roman"/>
                <w:color w:val="auto"/>
                <w:kern w:val="0"/>
                <w:sz w:val="24"/>
                <w:highlight w:val="none"/>
              </w:rPr>
              <w:t>为</w:t>
            </w:r>
            <w:r>
              <w:rPr>
                <w:rFonts w:ascii="Times New Roman" w:hAnsi="Times New Roman" w:cs="Times New Roman"/>
                <w:color w:val="auto"/>
                <w:kern w:val="24"/>
                <w:sz w:val="24"/>
                <w:szCs w:val="20"/>
                <w:highlight w:val="none"/>
              </w:rPr>
              <w:t>0.0</w:t>
            </w:r>
            <w:r>
              <w:rPr>
                <w:rFonts w:hint="eastAsia" w:ascii="Times New Roman" w:hAnsi="Times New Roman" w:cs="Times New Roman"/>
                <w:color w:val="auto"/>
                <w:kern w:val="24"/>
                <w:sz w:val="24"/>
                <w:szCs w:val="20"/>
                <w:highlight w:val="none"/>
                <w:lang w:val="en-US" w:eastAsia="zh-CN"/>
              </w:rPr>
              <w:t>096</w:t>
            </w:r>
            <w:r>
              <w:rPr>
                <w:rFonts w:ascii="Times New Roman" w:hAnsi="Times New Roman" w:cs="Times New Roman"/>
                <w:color w:val="auto"/>
                <w:kern w:val="24"/>
                <w:sz w:val="24"/>
                <w:szCs w:val="20"/>
                <w:highlight w:val="none"/>
              </w:rPr>
              <w:t>kg/h</w:t>
            </w:r>
            <w:r>
              <w:rPr>
                <w:rFonts w:ascii="Times New Roman" w:hAnsi="Times New Roman" w:cs="Times New Roman"/>
                <w:color w:val="auto"/>
                <w:sz w:val="24"/>
                <w:highlight w:val="none"/>
              </w:rPr>
              <w:t>，</w:t>
            </w:r>
            <w:r>
              <w:rPr>
                <w:rFonts w:ascii="Times New Roman" w:hAnsi="Times New Roman" w:cs="Times New Roman"/>
                <w:color w:val="auto"/>
                <w:kern w:val="24"/>
                <w:sz w:val="24"/>
                <w:szCs w:val="20"/>
                <w:highlight w:val="none"/>
              </w:rPr>
              <w:t>收集效率按70</w:t>
            </w:r>
            <w:r>
              <w:rPr>
                <w:rFonts w:ascii="Times New Roman" w:hAnsi="Times New Roman" w:cs="Times New Roman"/>
                <w:color w:val="auto"/>
                <w:kern w:val="0"/>
                <w:sz w:val="24"/>
                <w:highlight w:val="none"/>
              </w:rPr>
              <w:t>%计，</w:t>
            </w:r>
            <w:r>
              <w:rPr>
                <w:rFonts w:hint="eastAsia" w:ascii="Times New Roman" w:hAnsi="Times New Roman" w:cs="Times New Roman"/>
                <w:color w:val="auto"/>
                <w:kern w:val="0"/>
                <w:sz w:val="24"/>
                <w:highlight w:val="none"/>
                <w:lang w:val="en-US" w:eastAsia="zh-CN"/>
              </w:rPr>
              <w:t>布袋</w:t>
            </w:r>
            <w:r>
              <w:rPr>
                <w:rFonts w:ascii="Times New Roman" w:hAnsi="Times New Roman" w:cs="Times New Roman"/>
                <w:color w:val="auto"/>
                <w:kern w:val="0"/>
                <w:sz w:val="24"/>
                <w:highlight w:val="none"/>
              </w:rPr>
              <w:t>除尘器除尘效率约为95%</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通过排气筒P1有组织产生量为12.096kg，有组织产生速率为0.00672kg/h</w:t>
            </w:r>
            <w:r>
              <w:rPr>
                <w:rFonts w:hint="eastAsia" w:ascii="Times New Roman" w:hAnsi="Times New Roman" w:cs="Times New Roman"/>
                <w:color w:val="auto"/>
                <w:kern w:val="0"/>
                <w:sz w:val="24"/>
                <w:highlight w:val="none"/>
                <w:lang w:eastAsia="zh-CN"/>
              </w:rPr>
              <w:t>。</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②二保焊接废气</w:t>
            </w:r>
          </w:p>
          <w:p>
            <w:pPr>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根据建设方提供的资料，本项目建设后</w:t>
            </w:r>
            <w:r>
              <w:rPr>
                <w:rFonts w:hint="eastAsia" w:ascii="Times New Roman" w:hAnsi="Times New Roman" w:cs="Times New Roman"/>
                <w:color w:val="auto"/>
                <w:kern w:val="0"/>
                <w:sz w:val="24"/>
                <w:highlight w:val="none"/>
                <w:lang w:val="en-US" w:eastAsia="zh-CN"/>
              </w:rPr>
              <w:t>生产</w:t>
            </w:r>
            <w:r>
              <w:rPr>
                <w:rFonts w:ascii="Times New Roman" w:hAnsi="Times New Roman" w:cs="Times New Roman"/>
                <w:color w:val="auto"/>
                <w:kern w:val="0"/>
                <w:sz w:val="24"/>
                <w:highlight w:val="none"/>
              </w:rPr>
              <w:t>车间</w:t>
            </w:r>
            <w:r>
              <w:rPr>
                <w:rFonts w:hint="eastAsia" w:ascii="Times New Roman" w:hAnsi="Times New Roman" w:cs="Times New Roman"/>
                <w:color w:val="auto"/>
                <w:kern w:val="0"/>
                <w:sz w:val="24"/>
                <w:highlight w:val="none"/>
                <w:lang w:val="en-US" w:eastAsia="zh-CN"/>
              </w:rPr>
              <w:t>1</w:t>
            </w:r>
            <w:r>
              <w:rPr>
                <w:rFonts w:ascii="Times New Roman" w:hAnsi="Times New Roman" w:cs="Times New Roman"/>
                <w:color w:val="auto"/>
                <w:kern w:val="0"/>
                <w:sz w:val="24"/>
                <w:highlight w:val="none"/>
              </w:rPr>
              <w:t>二保焊焊丝年用量为</w:t>
            </w:r>
            <w:r>
              <w:rPr>
                <w:rFonts w:hint="eastAsia" w:ascii="Times New Roman" w:hAnsi="Times New Roman" w:cs="Times New Roman"/>
                <w:color w:val="auto"/>
                <w:kern w:val="0"/>
                <w:sz w:val="24"/>
                <w:highlight w:val="none"/>
                <w:lang w:val="en-US" w:eastAsia="zh-CN"/>
              </w:rPr>
              <w:t>3</w:t>
            </w:r>
            <w:r>
              <w:rPr>
                <w:rFonts w:ascii="Times New Roman" w:hAnsi="Times New Roman" w:cs="Times New Roman"/>
                <w:color w:val="auto"/>
                <w:kern w:val="0"/>
                <w:sz w:val="24"/>
                <w:highlight w:val="none"/>
              </w:rPr>
              <w:t>t/a，二保焊采用实芯焊丝，根据《不同焊接工艺的焊接烟尘污染特征》中焊接最大发尘量计算，二保焊焊接烟尘产生量为5～8g/kg（实芯焊丝），为安全起见，本报告二保焊发尘量按8g/（kg 实芯焊丝）计，二保焊焊接时间为</w:t>
            </w:r>
            <w:r>
              <w:rPr>
                <w:rFonts w:hint="eastAsia" w:ascii="Times New Roman" w:hAnsi="Times New Roman" w:cs="Times New Roman"/>
                <w:color w:val="auto"/>
                <w:kern w:val="0"/>
                <w:sz w:val="24"/>
                <w:highlight w:val="none"/>
                <w:lang w:val="en-US" w:eastAsia="zh-CN"/>
              </w:rPr>
              <w:t>18</w:t>
            </w:r>
            <w:r>
              <w:rPr>
                <w:rFonts w:ascii="Times New Roman" w:hAnsi="Times New Roman" w:cs="Times New Roman"/>
                <w:color w:val="auto"/>
                <w:kern w:val="0"/>
                <w:sz w:val="24"/>
                <w:highlight w:val="none"/>
              </w:rPr>
              <w:t>00h/a。本项目二保焊焊接烟尘产生量为</w:t>
            </w:r>
            <w:r>
              <w:rPr>
                <w:rFonts w:hint="eastAsia" w:ascii="Times New Roman" w:hAnsi="Times New Roman" w:cs="Times New Roman"/>
                <w:color w:val="auto"/>
                <w:kern w:val="0"/>
                <w:sz w:val="24"/>
                <w:highlight w:val="none"/>
                <w:lang w:val="en-US" w:eastAsia="zh-CN"/>
              </w:rPr>
              <w:t>24</w:t>
            </w:r>
            <w:r>
              <w:rPr>
                <w:rFonts w:ascii="Times New Roman" w:hAnsi="Times New Roman" w:cs="Times New Roman"/>
                <w:color w:val="auto"/>
                <w:kern w:val="0"/>
                <w:sz w:val="24"/>
                <w:highlight w:val="none"/>
              </w:rPr>
              <w:t>kg/a</w:t>
            </w:r>
            <w:r>
              <w:rPr>
                <w:rFonts w:hint="eastAsia" w:ascii="Times New Roman" w:hAnsi="Times New Roman" w:cs="Times New Roman"/>
                <w:color w:val="auto"/>
                <w:kern w:val="0"/>
                <w:sz w:val="24"/>
                <w:highlight w:val="none"/>
                <w:lang w:eastAsia="zh-CN"/>
              </w:rPr>
              <w:t>，</w:t>
            </w:r>
            <w:r>
              <w:rPr>
                <w:rFonts w:ascii="Times New Roman" w:hAnsi="Times New Roman" w:cs="Times New Roman"/>
                <w:color w:val="auto"/>
                <w:kern w:val="0"/>
                <w:sz w:val="24"/>
                <w:highlight w:val="none"/>
              </w:rPr>
              <w:t>则颗粒物产生</w:t>
            </w:r>
            <w:r>
              <w:rPr>
                <w:rFonts w:hint="eastAsia" w:ascii="Times New Roman" w:hAnsi="Times New Roman" w:cs="Times New Roman"/>
                <w:color w:val="auto"/>
                <w:kern w:val="0"/>
                <w:sz w:val="24"/>
                <w:highlight w:val="none"/>
                <w:lang w:val="en-US" w:eastAsia="zh-CN"/>
              </w:rPr>
              <w:t>速率</w:t>
            </w:r>
            <w:r>
              <w:rPr>
                <w:rFonts w:ascii="Times New Roman" w:hAnsi="Times New Roman" w:cs="Times New Roman"/>
                <w:color w:val="auto"/>
                <w:kern w:val="0"/>
                <w:sz w:val="24"/>
                <w:highlight w:val="none"/>
              </w:rPr>
              <w:t>为0.</w:t>
            </w:r>
            <w:r>
              <w:rPr>
                <w:rFonts w:hint="eastAsia" w:ascii="Times New Roman" w:hAnsi="Times New Roman" w:cs="Times New Roman"/>
                <w:color w:val="auto"/>
                <w:kern w:val="0"/>
                <w:sz w:val="24"/>
                <w:highlight w:val="none"/>
                <w:lang w:val="en-US" w:eastAsia="zh-CN"/>
              </w:rPr>
              <w:t>013</w:t>
            </w:r>
            <w:r>
              <w:rPr>
                <w:rFonts w:ascii="Times New Roman" w:hAnsi="Times New Roman" w:cs="Times New Roman"/>
                <w:color w:val="auto"/>
                <w:kern w:val="0"/>
                <w:sz w:val="24"/>
                <w:highlight w:val="none"/>
              </w:rPr>
              <w:t>kg/h，</w:t>
            </w:r>
            <w:r>
              <w:rPr>
                <w:rFonts w:ascii="Times New Roman" w:hAnsi="Times New Roman" w:cs="Times New Roman"/>
                <w:color w:val="auto"/>
                <w:kern w:val="24"/>
                <w:sz w:val="24"/>
                <w:szCs w:val="20"/>
                <w:highlight w:val="none"/>
              </w:rPr>
              <w:t>收集效率按70</w:t>
            </w:r>
            <w:r>
              <w:rPr>
                <w:rFonts w:ascii="Times New Roman" w:hAnsi="Times New Roman" w:cs="Times New Roman"/>
                <w:color w:val="auto"/>
                <w:kern w:val="0"/>
                <w:sz w:val="24"/>
                <w:highlight w:val="none"/>
              </w:rPr>
              <w:t>%计，</w:t>
            </w:r>
            <w:r>
              <w:rPr>
                <w:rFonts w:hint="eastAsia" w:ascii="Times New Roman" w:hAnsi="Times New Roman" w:cs="Times New Roman"/>
                <w:color w:val="auto"/>
                <w:kern w:val="0"/>
                <w:sz w:val="24"/>
                <w:highlight w:val="none"/>
                <w:lang w:val="en-US" w:eastAsia="zh-CN"/>
              </w:rPr>
              <w:t>布袋</w:t>
            </w:r>
            <w:r>
              <w:rPr>
                <w:rFonts w:ascii="Times New Roman" w:hAnsi="Times New Roman" w:cs="Times New Roman"/>
                <w:color w:val="auto"/>
                <w:kern w:val="0"/>
                <w:sz w:val="24"/>
                <w:highlight w:val="none"/>
              </w:rPr>
              <w:t>除尘器除尘效率约为95%</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通过排气筒P1有组织产生量为18.9kg，有组织产生速率为0.0091kg/h</w:t>
            </w:r>
            <w:r>
              <w:rPr>
                <w:rFonts w:hint="eastAsia" w:ascii="Times New Roman" w:hAnsi="Times New Roman" w:cs="Times New Roman"/>
                <w:color w:val="auto"/>
                <w:kern w:val="0"/>
                <w:sz w:val="24"/>
                <w:highlight w:val="none"/>
                <w:lang w:eastAsia="zh-CN"/>
              </w:rPr>
              <w:t>。</w:t>
            </w:r>
          </w:p>
          <w:p>
            <w:pPr>
              <w:spacing w:line="360" w:lineRule="auto"/>
              <w:ind w:firstLine="480" w:firstLineChars="200"/>
              <w:rPr>
                <w:rFonts w:ascii="Times New Roman" w:hAnsi="Times New Roman" w:cs="Times New Roman"/>
                <w:color w:val="auto"/>
                <w:sz w:val="24"/>
                <w:szCs w:val="20"/>
                <w:highlight w:val="none"/>
              </w:rPr>
            </w:pPr>
            <w:r>
              <w:rPr>
                <w:rFonts w:hint="eastAsia" w:ascii="Times New Roman" w:hAnsi="Times New Roman" w:cs="Times New Roman"/>
                <w:color w:val="auto"/>
                <w:kern w:val="0"/>
                <w:sz w:val="24"/>
                <w:highlight w:val="none"/>
                <w:lang w:val="en-US" w:eastAsia="zh-CN"/>
              </w:rPr>
              <w:t>③电焊焊接废气</w:t>
            </w:r>
          </w:p>
          <w:p>
            <w:pPr>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sz w:val="24"/>
                <w:szCs w:val="20"/>
                <w:highlight w:val="none"/>
              </w:rPr>
              <w:t>根据建设方提供的资料，本项目</w:t>
            </w:r>
            <w:r>
              <w:rPr>
                <w:rFonts w:hint="eastAsia" w:ascii="Times New Roman" w:hAnsi="Times New Roman" w:cs="Times New Roman"/>
                <w:color w:val="auto"/>
                <w:sz w:val="24"/>
                <w:szCs w:val="20"/>
                <w:highlight w:val="none"/>
                <w:lang w:val="en-US" w:eastAsia="zh-CN"/>
              </w:rPr>
              <w:t>生产车间1</w:t>
            </w:r>
            <w:r>
              <w:rPr>
                <w:rFonts w:ascii="Times New Roman" w:hAnsi="Times New Roman" w:cs="Times New Roman"/>
                <w:color w:val="auto"/>
                <w:sz w:val="24"/>
                <w:szCs w:val="20"/>
                <w:highlight w:val="none"/>
              </w:rPr>
              <w:t>电弧焊焊条年用量为</w:t>
            </w:r>
            <w:r>
              <w:rPr>
                <w:rFonts w:hint="eastAsia" w:ascii="Times New Roman" w:hAnsi="Times New Roman" w:cs="Times New Roman"/>
                <w:color w:val="auto"/>
                <w:sz w:val="24"/>
                <w:szCs w:val="20"/>
                <w:highlight w:val="none"/>
                <w:lang w:val="en-US" w:eastAsia="zh-CN"/>
              </w:rPr>
              <w:t>2</w:t>
            </w:r>
            <w:r>
              <w:rPr>
                <w:rFonts w:ascii="Times New Roman" w:hAnsi="Times New Roman" w:cs="Times New Roman"/>
                <w:color w:val="auto"/>
                <w:sz w:val="24"/>
                <w:szCs w:val="20"/>
                <w:highlight w:val="none"/>
              </w:rPr>
              <w:t>t/a，</w:t>
            </w:r>
            <w:r>
              <w:rPr>
                <w:rFonts w:ascii="Times New Roman" w:hAnsi="Times New Roman" w:cs="Times New Roman"/>
                <w:color w:val="auto"/>
                <w:kern w:val="0"/>
                <w:sz w:val="24"/>
                <w:highlight w:val="none"/>
              </w:rPr>
              <w:t>根据《不同焊接工艺的焊接烟尘污染特征》中焊接最大发尘量计算</w:t>
            </w:r>
            <w:r>
              <w:rPr>
                <w:rFonts w:ascii="Times New Roman" w:hAnsi="Times New Roman" w:cs="Times New Roman"/>
                <w:color w:val="auto"/>
                <w:sz w:val="24"/>
                <w:szCs w:val="20"/>
                <w:highlight w:val="none"/>
              </w:rPr>
              <w:t>，焊接材料的起尘量为6~8g/kg（钛钙型焊条），为安全起见，本报告按8g/kg（钛钙型焊条）计。根据建设单位提供的资料，本项目电弧焊焊条用量为</w:t>
            </w:r>
            <w:r>
              <w:rPr>
                <w:rFonts w:hint="eastAsia" w:ascii="Times New Roman" w:hAnsi="Times New Roman" w:cs="Times New Roman"/>
                <w:color w:val="auto"/>
                <w:sz w:val="24"/>
                <w:szCs w:val="20"/>
                <w:highlight w:val="none"/>
                <w:lang w:val="en-US" w:eastAsia="zh-CN"/>
              </w:rPr>
              <w:t>2</w:t>
            </w:r>
            <w:r>
              <w:rPr>
                <w:rFonts w:ascii="Times New Roman" w:hAnsi="Times New Roman" w:cs="Times New Roman"/>
                <w:color w:val="auto"/>
                <w:sz w:val="24"/>
                <w:szCs w:val="20"/>
                <w:highlight w:val="none"/>
              </w:rPr>
              <w:t>t/a，年焊接时间</w:t>
            </w:r>
            <w:r>
              <w:rPr>
                <w:rFonts w:hint="eastAsia" w:ascii="Times New Roman" w:hAnsi="Times New Roman" w:cs="Times New Roman"/>
                <w:color w:val="auto"/>
                <w:sz w:val="24"/>
                <w:szCs w:val="20"/>
                <w:highlight w:val="none"/>
                <w:lang w:val="en-US" w:eastAsia="zh-CN"/>
              </w:rPr>
              <w:t>18</w:t>
            </w:r>
            <w:r>
              <w:rPr>
                <w:rFonts w:ascii="Times New Roman" w:hAnsi="Times New Roman" w:cs="Times New Roman"/>
                <w:color w:val="auto"/>
                <w:sz w:val="24"/>
                <w:szCs w:val="20"/>
                <w:highlight w:val="none"/>
              </w:rPr>
              <w:t>00h，则电弧焊焊接烟尘产生量为</w:t>
            </w:r>
            <w:r>
              <w:rPr>
                <w:rFonts w:hint="eastAsia" w:ascii="Times New Roman" w:hAnsi="Times New Roman" w:cs="Times New Roman"/>
                <w:color w:val="auto"/>
                <w:sz w:val="24"/>
                <w:szCs w:val="20"/>
                <w:highlight w:val="none"/>
                <w:lang w:val="en-US" w:eastAsia="zh-CN"/>
              </w:rPr>
              <w:t>16</w:t>
            </w:r>
            <w:r>
              <w:rPr>
                <w:rFonts w:ascii="Times New Roman" w:hAnsi="Times New Roman" w:cs="Times New Roman"/>
                <w:color w:val="auto"/>
                <w:sz w:val="24"/>
                <w:szCs w:val="20"/>
                <w:highlight w:val="none"/>
              </w:rPr>
              <w:t>kg/a</w:t>
            </w:r>
            <w:r>
              <w:rPr>
                <w:rFonts w:hint="eastAsia" w:ascii="Times New Roman" w:hAnsi="Times New Roman" w:cs="Times New Roman"/>
                <w:color w:val="auto"/>
                <w:sz w:val="24"/>
                <w:szCs w:val="20"/>
                <w:highlight w:val="none"/>
                <w:lang w:eastAsia="zh-CN"/>
              </w:rPr>
              <w:t>，</w:t>
            </w:r>
            <w:r>
              <w:rPr>
                <w:rFonts w:ascii="Times New Roman" w:hAnsi="Times New Roman" w:cs="Times New Roman"/>
                <w:color w:val="auto"/>
                <w:kern w:val="0"/>
                <w:sz w:val="24"/>
                <w:highlight w:val="none"/>
              </w:rPr>
              <w:t>则颗粒物产生</w:t>
            </w:r>
            <w:r>
              <w:rPr>
                <w:rFonts w:hint="eastAsia" w:ascii="Times New Roman" w:hAnsi="Times New Roman" w:cs="Times New Roman"/>
                <w:color w:val="auto"/>
                <w:kern w:val="0"/>
                <w:sz w:val="24"/>
                <w:highlight w:val="none"/>
                <w:lang w:val="en-US" w:eastAsia="zh-CN"/>
              </w:rPr>
              <w:t>速率</w:t>
            </w:r>
            <w:r>
              <w:rPr>
                <w:rFonts w:ascii="Times New Roman" w:hAnsi="Times New Roman" w:cs="Times New Roman"/>
                <w:color w:val="auto"/>
                <w:kern w:val="0"/>
                <w:sz w:val="24"/>
                <w:highlight w:val="none"/>
              </w:rPr>
              <w:t>为</w:t>
            </w:r>
            <w:r>
              <w:rPr>
                <w:rFonts w:ascii="Times New Roman" w:hAnsi="Times New Roman" w:cs="Times New Roman"/>
                <w:color w:val="auto"/>
                <w:sz w:val="24"/>
                <w:szCs w:val="20"/>
                <w:highlight w:val="none"/>
              </w:rPr>
              <w:t>0.0</w:t>
            </w:r>
            <w:r>
              <w:rPr>
                <w:rFonts w:hint="eastAsia" w:ascii="Times New Roman" w:hAnsi="Times New Roman" w:cs="Times New Roman"/>
                <w:color w:val="auto"/>
                <w:sz w:val="24"/>
                <w:szCs w:val="20"/>
                <w:highlight w:val="none"/>
                <w:lang w:val="en-US" w:eastAsia="zh-CN"/>
              </w:rPr>
              <w:t>09</w:t>
            </w:r>
            <w:r>
              <w:rPr>
                <w:rFonts w:ascii="Times New Roman" w:hAnsi="Times New Roman" w:cs="Times New Roman"/>
                <w:color w:val="auto"/>
                <w:sz w:val="24"/>
                <w:szCs w:val="20"/>
                <w:highlight w:val="none"/>
              </w:rPr>
              <w:t>kg/h，</w:t>
            </w:r>
            <w:r>
              <w:rPr>
                <w:rFonts w:ascii="Times New Roman" w:hAnsi="Times New Roman" w:cs="Times New Roman"/>
                <w:color w:val="auto"/>
                <w:kern w:val="24"/>
                <w:sz w:val="24"/>
                <w:szCs w:val="20"/>
                <w:highlight w:val="none"/>
              </w:rPr>
              <w:t>收集效率按70</w:t>
            </w:r>
            <w:r>
              <w:rPr>
                <w:rFonts w:ascii="Times New Roman" w:hAnsi="Times New Roman" w:cs="Times New Roman"/>
                <w:color w:val="auto"/>
                <w:kern w:val="0"/>
                <w:sz w:val="24"/>
                <w:highlight w:val="none"/>
              </w:rPr>
              <w:t>%计，</w:t>
            </w:r>
            <w:r>
              <w:rPr>
                <w:rFonts w:hint="eastAsia" w:ascii="Times New Roman" w:hAnsi="Times New Roman" w:cs="Times New Roman"/>
                <w:color w:val="auto"/>
                <w:kern w:val="0"/>
                <w:sz w:val="24"/>
                <w:highlight w:val="none"/>
                <w:lang w:val="en-US" w:eastAsia="zh-CN"/>
              </w:rPr>
              <w:t>布袋</w:t>
            </w:r>
            <w:r>
              <w:rPr>
                <w:rFonts w:ascii="Times New Roman" w:hAnsi="Times New Roman" w:cs="Times New Roman"/>
                <w:color w:val="auto"/>
                <w:kern w:val="0"/>
                <w:sz w:val="24"/>
                <w:highlight w:val="none"/>
              </w:rPr>
              <w:t>除尘器除尘效率约为95%</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通过排气筒P1有组织产生量为11.2kg，有组织产生速率为0.0063kg/h</w:t>
            </w:r>
            <w:r>
              <w:rPr>
                <w:rFonts w:hint="eastAsia" w:ascii="Times New Roman" w:hAnsi="Times New Roman" w:cs="Times New Roman"/>
                <w:color w:val="auto"/>
                <w:kern w:val="0"/>
                <w:sz w:val="24"/>
                <w:highlight w:val="none"/>
                <w:lang w:eastAsia="zh-CN"/>
              </w:rPr>
              <w:t>。</w:t>
            </w:r>
          </w:p>
          <w:p>
            <w:pPr>
              <w:spacing w:line="360" w:lineRule="auto"/>
              <w:ind w:firstLine="480" w:firstLineChars="200"/>
              <w:rPr>
                <w:color w:val="auto"/>
                <w:highlight w:val="none"/>
              </w:rPr>
            </w:pPr>
            <w:r>
              <w:rPr>
                <w:rFonts w:hint="eastAsia" w:ascii="Times New Roman" w:hAnsi="Times New Roman" w:cs="Times New Roman"/>
                <w:color w:val="auto"/>
                <w:sz w:val="24"/>
                <w:szCs w:val="20"/>
                <w:highlight w:val="none"/>
                <w:lang w:val="en-US" w:eastAsia="zh-CN"/>
              </w:rPr>
              <w:t>④埋弧焊焊接废气</w:t>
            </w:r>
          </w:p>
          <w:p>
            <w:pPr>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sz w:val="24"/>
                <w:szCs w:val="20"/>
                <w:highlight w:val="none"/>
              </w:rPr>
              <w:t>根据建设方提供的资料，</w:t>
            </w:r>
            <w:r>
              <w:rPr>
                <w:rFonts w:ascii="Times New Roman" w:hAnsi="Times New Roman" w:cs="Times New Roman"/>
                <w:color w:val="auto"/>
                <w:kern w:val="0"/>
                <w:sz w:val="24"/>
                <w:highlight w:val="none"/>
              </w:rPr>
              <w:t>本项目建设完成后，</w:t>
            </w:r>
            <w:r>
              <w:rPr>
                <w:rFonts w:hint="eastAsia" w:ascii="Times New Roman" w:hAnsi="Times New Roman" w:cs="Times New Roman"/>
                <w:color w:val="auto"/>
                <w:kern w:val="0"/>
                <w:sz w:val="24"/>
                <w:highlight w:val="none"/>
                <w:lang w:val="en-US" w:eastAsia="zh-CN"/>
              </w:rPr>
              <w:t>生产</w:t>
            </w:r>
            <w:r>
              <w:rPr>
                <w:rFonts w:ascii="Times New Roman" w:hAnsi="Times New Roman" w:cs="Times New Roman"/>
                <w:color w:val="auto"/>
                <w:kern w:val="0"/>
                <w:sz w:val="24"/>
                <w:highlight w:val="none"/>
              </w:rPr>
              <w:t>车间</w:t>
            </w:r>
            <w:r>
              <w:rPr>
                <w:rFonts w:hint="eastAsia" w:ascii="Times New Roman" w:hAnsi="Times New Roman" w:cs="Times New Roman"/>
                <w:color w:val="auto"/>
                <w:kern w:val="0"/>
                <w:sz w:val="24"/>
                <w:highlight w:val="none"/>
                <w:lang w:val="en-US" w:eastAsia="zh-CN"/>
              </w:rPr>
              <w:t>1</w:t>
            </w:r>
            <w:r>
              <w:rPr>
                <w:rFonts w:ascii="Times New Roman" w:hAnsi="Times New Roman" w:cs="Times New Roman"/>
                <w:color w:val="auto"/>
                <w:kern w:val="0"/>
                <w:sz w:val="24"/>
                <w:highlight w:val="none"/>
              </w:rPr>
              <w:t>埋弧焊焊丝年用量为</w:t>
            </w:r>
            <w:r>
              <w:rPr>
                <w:rFonts w:hint="eastAsia" w:ascii="Times New Roman" w:hAnsi="Times New Roman" w:cs="Times New Roman"/>
                <w:color w:val="auto"/>
                <w:kern w:val="0"/>
                <w:sz w:val="24"/>
                <w:highlight w:val="none"/>
                <w:lang w:val="en-US" w:eastAsia="zh-CN"/>
              </w:rPr>
              <w:t>2</w:t>
            </w:r>
            <w:r>
              <w:rPr>
                <w:rFonts w:ascii="Times New Roman" w:hAnsi="Times New Roman" w:cs="Times New Roman"/>
                <w:color w:val="auto"/>
                <w:kern w:val="0"/>
                <w:sz w:val="24"/>
                <w:highlight w:val="none"/>
              </w:rPr>
              <w:t>t/a，焊剂年用量为</w:t>
            </w:r>
            <w:r>
              <w:rPr>
                <w:rFonts w:hint="eastAsia" w:ascii="Times New Roman" w:hAnsi="Times New Roman" w:cs="Times New Roman"/>
                <w:color w:val="auto"/>
                <w:kern w:val="0"/>
                <w:sz w:val="24"/>
                <w:highlight w:val="none"/>
                <w:lang w:val="en-US" w:eastAsia="zh-CN"/>
              </w:rPr>
              <w:t>1.5</w:t>
            </w:r>
            <w:r>
              <w:rPr>
                <w:rFonts w:ascii="Times New Roman" w:hAnsi="Times New Roman" w:cs="Times New Roman"/>
                <w:color w:val="auto"/>
                <w:kern w:val="0"/>
                <w:sz w:val="24"/>
                <w:highlight w:val="none"/>
              </w:rPr>
              <w:t>t/a，埋弧焊采用实芯焊丝，根据《不同焊接工艺的焊接烟尘污染特征》中焊接最大发尘量计算，埋弧焊焊接烟尘产生量为0.1～0.3g/kg，为</w:t>
            </w:r>
            <w:r>
              <w:rPr>
                <w:rFonts w:hint="eastAsia" w:ascii="Times New Roman" w:hAnsi="Times New Roman" w:cs="Times New Roman"/>
                <w:color w:val="auto"/>
                <w:kern w:val="0"/>
                <w:sz w:val="24"/>
                <w:highlight w:val="none"/>
                <w:lang w:val="en-US" w:eastAsia="zh-CN"/>
              </w:rPr>
              <w:t>保守</w:t>
            </w:r>
            <w:r>
              <w:rPr>
                <w:rFonts w:ascii="Times New Roman" w:hAnsi="Times New Roman" w:cs="Times New Roman"/>
                <w:color w:val="auto"/>
                <w:kern w:val="0"/>
                <w:sz w:val="24"/>
                <w:highlight w:val="none"/>
              </w:rPr>
              <w:t>起见，本报告埋弧焊发尘量按0.3g/（kg焊接材料）计，埋弧焊焊接时间为</w:t>
            </w:r>
            <w:r>
              <w:rPr>
                <w:rFonts w:hint="eastAsia" w:ascii="Times New Roman" w:hAnsi="Times New Roman" w:cs="Times New Roman"/>
                <w:color w:val="auto"/>
                <w:kern w:val="0"/>
                <w:sz w:val="24"/>
                <w:highlight w:val="none"/>
                <w:lang w:val="en-US" w:eastAsia="zh-CN"/>
              </w:rPr>
              <w:t>18</w:t>
            </w:r>
            <w:r>
              <w:rPr>
                <w:rFonts w:ascii="Times New Roman" w:hAnsi="Times New Roman" w:cs="Times New Roman"/>
                <w:color w:val="auto"/>
                <w:kern w:val="0"/>
                <w:sz w:val="24"/>
                <w:highlight w:val="none"/>
              </w:rPr>
              <w:t>00h/a，则埋弧焊焊接烟尘产生量为</w:t>
            </w:r>
            <w:r>
              <w:rPr>
                <w:rFonts w:hint="eastAsia" w:ascii="Times New Roman" w:hAnsi="Times New Roman" w:cs="Times New Roman"/>
                <w:color w:val="auto"/>
                <w:kern w:val="0"/>
                <w:sz w:val="24"/>
                <w:highlight w:val="none"/>
                <w:lang w:val="en-US" w:eastAsia="zh-CN"/>
              </w:rPr>
              <w:t>1.05</w:t>
            </w:r>
            <w:r>
              <w:rPr>
                <w:rFonts w:ascii="Times New Roman" w:hAnsi="Times New Roman" w:cs="Times New Roman"/>
                <w:color w:val="auto"/>
                <w:kern w:val="0"/>
                <w:sz w:val="24"/>
                <w:highlight w:val="none"/>
              </w:rPr>
              <w:t>kg/a，则颗粒物产生</w:t>
            </w:r>
            <w:r>
              <w:rPr>
                <w:rFonts w:hint="eastAsia" w:ascii="Times New Roman" w:hAnsi="Times New Roman" w:cs="Times New Roman"/>
                <w:color w:val="auto"/>
                <w:kern w:val="0"/>
                <w:sz w:val="24"/>
                <w:highlight w:val="none"/>
                <w:lang w:val="en-US" w:eastAsia="zh-CN"/>
              </w:rPr>
              <w:t>速率</w:t>
            </w:r>
            <w:r>
              <w:rPr>
                <w:rFonts w:ascii="Times New Roman" w:hAnsi="Times New Roman" w:cs="Times New Roman"/>
                <w:color w:val="auto"/>
                <w:kern w:val="0"/>
                <w:sz w:val="24"/>
                <w:highlight w:val="none"/>
              </w:rPr>
              <w:t>为</w:t>
            </w:r>
            <w:r>
              <w:rPr>
                <w:rFonts w:ascii="Times New Roman" w:hAnsi="Times New Roman" w:cs="Times New Roman"/>
                <w:color w:val="auto"/>
                <w:sz w:val="24"/>
                <w:szCs w:val="20"/>
                <w:highlight w:val="none"/>
              </w:rPr>
              <w:t>0.0</w:t>
            </w:r>
            <w:r>
              <w:rPr>
                <w:rFonts w:hint="eastAsia" w:ascii="Times New Roman" w:hAnsi="Times New Roman" w:cs="Times New Roman"/>
                <w:color w:val="auto"/>
                <w:sz w:val="24"/>
                <w:szCs w:val="20"/>
                <w:highlight w:val="none"/>
                <w:lang w:val="en-US" w:eastAsia="zh-CN"/>
              </w:rPr>
              <w:t>006</w:t>
            </w:r>
            <w:r>
              <w:rPr>
                <w:rFonts w:ascii="Times New Roman" w:hAnsi="Times New Roman" w:cs="Times New Roman"/>
                <w:color w:val="auto"/>
                <w:sz w:val="24"/>
                <w:szCs w:val="20"/>
                <w:highlight w:val="none"/>
              </w:rPr>
              <w:t>kg/h，</w:t>
            </w:r>
            <w:r>
              <w:rPr>
                <w:rFonts w:ascii="Times New Roman" w:hAnsi="Times New Roman" w:cs="Times New Roman"/>
                <w:color w:val="auto"/>
                <w:kern w:val="24"/>
                <w:sz w:val="24"/>
                <w:szCs w:val="20"/>
                <w:highlight w:val="none"/>
              </w:rPr>
              <w:t>收集效率按70</w:t>
            </w:r>
            <w:r>
              <w:rPr>
                <w:rFonts w:ascii="Times New Roman" w:hAnsi="Times New Roman" w:cs="Times New Roman"/>
                <w:color w:val="auto"/>
                <w:kern w:val="0"/>
                <w:sz w:val="24"/>
                <w:highlight w:val="none"/>
              </w:rPr>
              <w:t>%计，</w:t>
            </w:r>
            <w:r>
              <w:rPr>
                <w:rFonts w:hint="eastAsia" w:ascii="Times New Roman" w:hAnsi="Times New Roman" w:cs="Times New Roman"/>
                <w:color w:val="auto"/>
                <w:kern w:val="0"/>
                <w:sz w:val="24"/>
                <w:highlight w:val="none"/>
                <w:lang w:val="en-US" w:eastAsia="zh-CN"/>
              </w:rPr>
              <w:t>布袋</w:t>
            </w:r>
            <w:r>
              <w:rPr>
                <w:rFonts w:ascii="Times New Roman" w:hAnsi="Times New Roman" w:cs="Times New Roman"/>
                <w:color w:val="auto"/>
                <w:kern w:val="0"/>
                <w:sz w:val="24"/>
                <w:highlight w:val="none"/>
              </w:rPr>
              <w:t>除尘器除尘效率约为95%</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通过排气筒P1有组织产生量为0.735kg，有组织产生速率为0.00042kg/h</w:t>
            </w:r>
            <w:r>
              <w:rPr>
                <w:rFonts w:hint="eastAsia" w:ascii="Times New Roman" w:hAnsi="Times New Roman" w:cs="Times New Roman"/>
                <w:color w:val="auto"/>
                <w:kern w:val="0"/>
                <w:sz w:val="24"/>
                <w:highlight w:val="none"/>
                <w:lang w:eastAsia="zh-CN"/>
              </w:rPr>
              <w:t>。</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cs="Times New Roman"/>
                <w:color w:val="auto"/>
                <w:kern w:val="0"/>
                <w:sz w:val="24"/>
                <w:highlight w:val="none"/>
                <w:lang w:val="en-US" w:eastAsia="zh-CN"/>
              </w:rPr>
              <w:t>⑤打磨废气</w:t>
            </w:r>
          </w:p>
          <w:p>
            <w:pPr>
              <w:spacing w:line="360" w:lineRule="auto"/>
              <w:ind w:firstLine="480" w:firstLineChars="200"/>
              <w:rPr>
                <w:rFonts w:hint="eastAsia"/>
                <w:color w:val="auto"/>
                <w:highlight w:val="none"/>
                <w:lang w:val="en-US" w:eastAsia="zh-CN"/>
              </w:rPr>
            </w:pPr>
            <w:r>
              <w:rPr>
                <w:rFonts w:ascii="Times New Roman" w:hAnsi="Times New Roman" w:cs="Times New Roman"/>
                <w:color w:val="auto"/>
                <w:kern w:val="24"/>
                <w:sz w:val="24"/>
                <w:szCs w:val="20"/>
                <w:highlight w:val="none"/>
              </w:rPr>
              <w:t>根据建设单位提供资料，经过埋弧焊后部分工件表面会存在少量毛刺，需要进行打磨，本项目</w:t>
            </w:r>
            <w:r>
              <w:rPr>
                <w:rFonts w:hint="eastAsia" w:ascii="Times New Roman" w:hAnsi="Times New Roman" w:cs="Times New Roman"/>
                <w:color w:val="auto"/>
                <w:kern w:val="24"/>
                <w:sz w:val="24"/>
                <w:szCs w:val="20"/>
                <w:highlight w:val="none"/>
                <w:lang w:val="en-US" w:eastAsia="zh-CN"/>
              </w:rPr>
              <w:t>生产车间1</w:t>
            </w:r>
            <w:r>
              <w:rPr>
                <w:rFonts w:ascii="Times New Roman" w:hAnsi="Times New Roman" w:cs="Times New Roman"/>
                <w:color w:val="auto"/>
                <w:kern w:val="24"/>
                <w:sz w:val="24"/>
                <w:szCs w:val="20"/>
                <w:highlight w:val="none"/>
              </w:rPr>
              <w:t>约</w:t>
            </w:r>
            <w:r>
              <w:rPr>
                <w:rFonts w:hint="eastAsia" w:ascii="Times New Roman" w:hAnsi="Times New Roman" w:cs="Times New Roman"/>
                <w:color w:val="auto"/>
                <w:kern w:val="24"/>
                <w:sz w:val="24"/>
                <w:szCs w:val="20"/>
                <w:highlight w:val="none"/>
                <w:lang w:val="en-US" w:eastAsia="zh-CN"/>
              </w:rPr>
              <w:t>10</w:t>
            </w:r>
            <w:r>
              <w:rPr>
                <w:rFonts w:ascii="Times New Roman" w:hAnsi="Times New Roman" w:cs="Times New Roman"/>
                <w:color w:val="auto"/>
                <w:kern w:val="24"/>
                <w:sz w:val="24"/>
                <w:szCs w:val="20"/>
                <w:highlight w:val="none"/>
              </w:rPr>
              <w:t>0吨工件需要进行打磨，该打磨过程会产生极少量粉尘颗粒物，参考</w:t>
            </w:r>
            <w:r>
              <w:rPr>
                <w:rFonts w:ascii="Times New Roman" w:hAnsi="Times New Roman" w:cs="Times New Roman"/>
                <w:color w:val="auto"/>
                <w:sz w:val="24"/>
                <w:highlight w:val="none"/>
              </w:rPr>
              <w:t>《第二次全国污染源普查工业污染源产排污系数手册》钢材打磨排污系数2.19kg/t</w:t>
            </w:r>
            <w:r>
              <w:rPr>
                <w:rFonts w:ascii="Times New Roman" w:hAnsi="Times New Roman" w:cs="Times New Roman"/>
                <w:color w:val="auto"/>
                <w:kern w:val="24"/>
                <w:sz w:val="24"/>
                <w:szCs w:val="20"/>
                <w:highlight w:val="none"/>
              </w:rPr>
              <w:t>，则产生量为219kg/a（0.365kg/h），打磨工序每天运行2h，年运行时间为600h</w:t>
            </w:r>
            <w:r>
              <w:rPr>
                <w:rFonts w:hint="eastAsia" w:ascii="Times New Roman" w:hAnsi="Times New Roman" w:cs="Times New Roman"/>
                <w:color w:val="auto"/>
                <w:kern w:val="24"/>
                <w:sz w:val="24"/>
                <w:szCs w:val="20"/>
                <w:highlight w:val="none"/>
                <w:lang w:eastAsia="zh-CN"/>
              </w:rPr>
              <w:t>，</w:t>
            </w:r>
            <w:r>
              <w:rPr>
                <w:rFonts w:ascii="Times New Roman" w:hAnsi="Times New Roman" w:cs="Times New Roman"/>
                <w:color w:val="auto"/>
                <w:kern w:val="24"/>
                <w:sz w:val="24"/>
                <w:szCs w:val="20"/>
                <w:highlight w:val="none"/>
              </w:rPr>
              <w:t>产生的颗粒物经焊接工位万向柔性吸气臂集气罩收集，收集效率按70%计，通过管道经</w:t>
            </w:r>
            <w:r>
              <w:rPr>
                <w:rFonts w:hint="eastAsia" w:ascii="Times New Roman" w:hAnsi="Times New Roman" w:cs="Times New Roman"/>
                <w:color w:val="auto"/>
                <w:kern w:val="24"/>
                <w:sz w:val="24"/>
                <w:szCs w:val="20"/>
                <w:highlight w:val="none"/>
                <w:lang w:val="en-US" w:eastAsia="zh-CN"/>
              </w:rPr>
              <w:t>1#布袋</w:t>
            </w:r>
            <w:r>
              <w:rPr>
                <w:rFonts w:ascii="Times New Roman" w:hAnsi="Times New Roman" w:cs="Times New Roman"/>
                <w:color w:val="auto"/>
                <w:kern w:val="24"/>
                <w:sz w:val="24"/>
                <w:szCs w:val="20"/>
                <w:highlight w:val="none"/>
              </w:rPr>
              <w:t>除尘器进行处理，处理效率按95%计，则打磨工序颗粒物有组织产生量为153.3kg/a</w:t>
            </w:r>
            <w:r>
              <w:rPr>
                <w:rFonts w:hint="eastAsia" w:ascii="Times New Roman" w:hAnsi="Times New Roman" w:cs="Times New Roman"/>
                <w:color w:val="auto"/>
                <w:kern w:val="24"/>
                <w:sz w:val="24"/>
                <w:szCs w:val="20"/>
                <w:highlight w:val="none"/>
                <w:lang w:eastAsia="zh-CN"/>
              </w:rPr>
              <w:t>，</w:t>
            </w:r>
            <w:r>
              <w:rPr>
                <w:rFonts w:hint="eastAsia" w:ascii="Times New Roman" w:hAnsi="Times New Roman" w:cs="Times New Roman"/>
                <w:color w:val="auto"/>
                <w:kern w:val="24"/>
                <w:sz w:val="24"/>
                <w:szCs w:val="20"/>
                <w:highlight w:val="none"/>
                <w:lang w:val="en-US" w:eastAsia="zh-CN"/>
              </w:rPr>
              <w:t>有组织产生速率为</w:t>
            </w:r>
            <w:r>
              <w:rPr>
                <w:rFonts w:ascii="Times New Roman" w:hAnsi="Times New Roman" w:cs="Times New Roman"/>
                <w:color w:val="auto"/>
                <w:kern w:val="24"/>
                <w:sz w:val="24"/>
                <w:szCs w:val="20"/>
                <w:highlight w:val="none"/>
              </w:rPr>
              <w:t>0.0511kg/h，有组织排放量为7.665kg/a</w:t>
            </w:r>
            <w:r>
              <w:rPr>
                <w:rFonts w:hint="eastAsia" w:ascii="Times New Roman" w:hAnsi="Times New Roman" w:cs="Times New Roman"/>
                <w:color w:val="auto"/>
                <w:kern w:val="24"/>
                <w:sz w:val="24"/>
                <w:szCs w:val="20"/>
                <w:highlight w:val="none"/>
                <w:lang w:eastAsia="zh-CN"/>
              </w:rPr>
              <w:t>，</w:t>
            </w:r>
            <w:r>
              <w:rPr>
                <w:rFonts w:hint="eastAsia" w:ascii="Times New Roman" w:hAnsi="Times New Roman" w:cs="Times New Roman"/>
                <w:color w:val="auto"/>
                <w:kern w:val="24"/>
                <w:sz w:val="24"/>
                <w:szCs w:val="20"/>
                <w:highlight w:val="none"/>
                <w:lang w:val="en-US" w:eastAsia="zh-CN"/>
              </w:rPr>
              <w:t>有组织排放速率为</w:t>
            </w:r>
            <w:r>
              <w:rPr>
                <w:rFonts w:ascii="Times New Roman" w:hAnsi="Times New Roman" w:cs="Times New Roman"/>
                <w:color w:val="auto"/>
                <w:kern w:val="24"/>
                <w:sz w:val="24"/>
                <w:szCs w:val="20"/>
                <w:highlight w:val="none"/>
              </w:rPr>
              <w:t>0.0128kg/h。打磨工序颗粒物无组织排放速率为0.1095kg/h，无组织排放量为65.7kg/a。</w:t>
            </w:r>
          </w:p>
          <w:p>
            <w:pPr>
              <w:spacing w:line="360" w:lineRule="auto"/>
              <w:ind w:firstLine="480" w:firstLineChars="200"/>
              <w:rPr>
                <w:rFonts w:hint="default"/>
                <w:color w:val="auto"/>
                <w:highlight w:val="none"/>
                <w:lang w:val="en-US" w:eastAsia="zh-CN"/>
              </w:rPr>
            </w:pPr>
            <w:r>
              <w:rPr>
                <w:rFonts w:hint="eastAsia" w:ascii="Times New Roman" w:hAnsi="Times New Roman" w:cs="Times New Roman"/>
                <w:color w:val="auto"/>
                <w:kern w:val="0"/>
                <w:sz w:val="24"/>
                <w:highlight w:val="none"/>
                <w:lang w:val="en-US" w:eastAsia="zh-CN"/>
              </w:rPr>
              <w:t>综上，本项目排气筒P1颗粒物有组织产生量为</w:t>
            </w:r>
            <w:r>
              <w:rPr>
                <w:rFonts w:hint="eastAsia" w:cs="Times New Roman"/>
                <w:color w:val="auto"/>
                <w:kern w:val="0"/>
                <w:sz w:val="24"/>
                <w:highlight w:val="none"/>
                <w:lang w:val="en-US" w:eastAsia="zh-CN"/>
              </w:rPr>
              <w:t>196.231</w:t>
            </w:r>
            <w:r>
              <w:rPr>
                <w:rFonts w:hint="eastAsia" w:ascii="Times New Roman" w:hAnsi="Times New Roman" w:cs="Times New Roman"/>
                <w:color w:val="auto"/>
                <w:kern w:val="0"/>
                <w:sz w:val="24"/>
                <w:highlight w:val="none"/>
                <w:lang w:val="en-US" w:eastAsia="zh-CN"/>
              </w:rPr>
              <w:t>kg，有组织产生速率为0.</w:t>
            </w:r>
            <w:r>
              <w:rPr>
                <w:rFonts w:hint="eastAsia" w:cs="Times New Roman"/>
                <w:color w:val="auto"/>
                <w:kern w:val="0"/>
                <w:sz w:val="24"/>
                <w:highlight w:val="none"/>
                <w:lang w:val="en-US" w:eastAsia="zh-CN"/>
              </w:rPr>
              <w:t>07364</w:t>
            </w:r>
            <w:r>
              <w:rPr>
                <w:rFonts w:ascii="Times New Roman" w:hAnsi="Times New Roman" w:cs="Times New Roman"/>
                <w:color w:val="auto"/>
                <w:sz w:val="24"/>
                <w:szCs w:val="20"/>
                <w:highlight w:val="none"/>
              </w:rPr>
              <w:t>kg/h</w:t>
            </w:r>
            <w:r>
              <w:rPr>
                <w:rFonts w:hint="eastAsia" w:ascii="Times New Roman" w:hAnsi="Times New Roman" w:cs="Times New Roman"/>
                <w:color w:val="auto"/>
                <w:kern w:val="0"/>
                <w:sz w:val="24"/>
                <w:highlight w:val="none"/>
                <w:lang w:val="en-US" w:eastAsia="zh-CN"/>
              </w:rPr>
              <w:t>，有组织排放量为</w:t>
            </w:r>
            <w:r>
              <w:rPr>
                <w:rFonts w:hint="eastAsia" w:cs="Times New Roman"/>
                <w:color w:val="auto"/>
                <w:kern w:val="0"/>
                <w:sz w:val="24"/>
                <w:highlight w:val="none"/>
                <w:lang w:val="en-US" w:eastAsia="zh-CN"/>
              </w:rPr>
              <w:t>9.81155</w:t>
            </w:r>
            <w:r>
              <w:rPr>
                <w:rFonts w:hint="eastAsia" w:ascii="Times New Roman" w:hAnsi="Times New Roman" w:cs="Times New Roman"/>
                <w:color w:val="auto"/>
                <w:kern w:val="0"/>
                <w:sz w:val="24"/>
                <w:highlight w:val="none"/>
                <w:lang w:val="en-US" w:eastAsia="zh-CN"/>
              </w:rPr>
              <w:t>kg，有组织排放速率为</w:t>
            </w:r>
            <w:r>
              <w:rPr>
                <w:rFonts w:hint="eastAsia" w:cs="Times New Roman"/>
                <w:color w:val="auto"/>
                <w:kern w:val="0"/>
                <w:sz w:val="24"/>
                <w:highlight w:val="none"/>
                <w:lang w:val="en-US" w:eastAsia="zh-CN"/>
              </w:rPr>
              <w:t>0.013927</w:t>
            </w:r>
            <w:r>
              <w:rPr>
                <w:rFonts w:ascii="Times New Roman" w:hAnsi="Times New Roman" w:cs="Times New Roman"/>
                <w:color w:val="auto"/>
                <w:sz w:val="24"/>
                <w:szCs w:val="20"/>
                <w:highlight w:val="none"/>
              </w:rPr>
              <w:t>kg/h</w:t>
            </w:r>
            <w:r>
              <w:rPr>
                <w:rFonts w:hint="eastAsia" w:ascii="Times New Roman" w:hAnsi="Times New Roman" w:cs="Times New Roman"/>
                <w:color w:val="auto"/>
                <w:kern w:val="0"/>
                <w:sz w:val="24"/>
                <w:highlight w:val="none"/>
                <w:lang w:val="en-US" w:eastAsia="zh-CN"/>
              </w:rPr>
              <w:t>。排气筒P1配套风机风量为</w:t>
            </w:r>
            <w:r>
              <w:rPr>
                <w:rFonts w:hint="eastAsia" w:cs="Times New Roman"/>
                <w:color w:val="auto"/>
                <w:kern w:val="0"/>
                <w:sz w:val="24"/>
                <w:highlight w:val="none"/>
                <w:lang w:val="en-US" w:eastAsia="zh-CN"/>
              </w:rPr>
              <w:t>6</w:t>
            </w:r>
            <w:r>
              <w:rPr>
                <w:rFonts w:hint="eastAsia" w:ascii="Times New Roman" w:hAnsi="Times New Roman" w:cs="Times New Roman"/>
                <w:color w:val="auto"/>
                <w:kern w:val="0"/>
                <w:sz w:val="24"/>
                <w:highlight w:val="none"/>
                <w:lang w:val="en-US" w:eastAsia="zh-CN"/>
              </w:rPr>
              <w:t>000m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lang w:val="en-US" w:eastAsia="zh-CN"/>
              </w:rPr>
              <w:t>/h，则排气筒P1有组织产生浓度为</w:t>
            </w:r>
            <w:r>
              <w:rPr>
                <w:rFonts w:hint="eastAsia" w:cs="Times New Roman"/>
                <w:color w:val="auto"/>
                <w:kern w:val="0"/>
                <w:sz w:val="24"/>
                <w:highlight w:val="none"/>
                <w:lang w:val="en-US" w:eastAsia="zh-CN"/>
              </w:rPr>
              <w:t>12.3</w:t>
            </w:r>
            <w:r>
              <w:rPr>
                <w:rFonts w:hint="eastAsia" w:ascii="Times New Roman" w:hAnsi="Times New Roman" w:cs="Times New Roman"/>
                <w:color w:val="auto"/>
                <w:kern w:val="0"/>
                <w:sz w:val="24"/>
                <w:highlight w:val="none"/>
                <w:lang w:val="en-US" w:eastAsia="zh-CN"/>
              </w:rPr>
              <w:t>mg/m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lang w:val="en-US" w:eastAsia="zh-CN"/>
              </w:rPr>
              <w:t>，有组织排放浓度为</w:t>
            </w:r>
            <w:r>
              <w:rPr>
                <w:rFonts w:hint="eastAsia" w:cs="Times New Roman"/>
                <w:color w:val="auto"/>
                <w:kern w:val="0"/>
                <w:sz w:val="24"/>
                <w:highlight w:val="none"/>
                <w:lang w:val="en-US" w:eastAsia="zh-CN"/>
              </w:rPr>
              <w:t>2.13</w:t>
            </w:r>
            <w:r>
              <w:rPr>
                <w:rFonts w:hint="eastAsia" w:ascii="Times New Roman" w:hAnsi="Times New Roman" w:cs="Times New Roman"/>
                <w:color w:val="auto"/>
                <w:kern w:val="0"/>
                <w:sz w:val="24"/>
                <w:highlight w:val="none"/>
                <w:lang w:val="en-US" w:eastAsia="zh-CN"/>
              </w:rPr>
              <w:t>mg/m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vertAlign w:val="baseline"/>
                <w:lang w:val="en-US" w:eastAsia="zh-CN"/>
              </w:rPr>
              <w:t>。</w:t>
            </w:r>
            <w:r>
              <w:rPr>
                <w:rFonts w:hint="eastAsia" w:cs="Times New Roman"/>
                <w:color w:val="auto"/>
                <w:kern w:val="0"/>
                <w:sz w:val="24"/>
                <w:highlight w:val="none"/>
                <w:vertAlign w:val="baseline"/>
                <w:lang w:val="en-US" w:eastAsia="zh-CN"/>
              </w:rPr>
              <w:t>颗粒物无组织排放速率为0.11916kg/h。</w:t>
            </w:r>
          </w:p>
          <w:p>
            <w:pPr>
              <w:numPr>
                <w:ilvl w:val="0"/>
                <w:numId w:val="7"/>
              </w:numPr>
              <w:spacing w:line="360" w:lineRule="auto"/>
              <w:ind w:firstLine="480" w:firstLineChars="200"/>
              <w:rPr>
                <w:rFonts w:hint="default" w:ascii="Times New Roman" w:hAnsi="Times New Roman" w:cs="Times New Roman"/>
                <w:color w:val="auto"/>
                <w:highlight w:val="none"/>
              </w:rPr>
            </w:pPr>
            <w:r>
              <w:rPr>
                <w:rFonts w:hint="eastAsia" w:cs="Times New Roman"/>
                <w:color w:val="auto"/>
                <w:highlight w:val="none"/>
                <w:lang w:val="en-US" w:eastAsia="zh-CN"/>
              </w:rPr>
              <w:t>排气筒P2排放</w:t>
            </w:r>
            <w:r>
              <w:rPr>
                <w:rFonts w:hint="default" w:ascii="Times New Roman" w:hAnsi="Times New Roman" w:cs="Times New Roman"/>
                <w:color w:val="auto"/>
                <w:highlight w:val="none"/>
              </w:rPr>
              <w:t>颗粒物</w:t>
            </w:r>
          </w:p>
          <w:p>
            <w:pPr>
              <w:spacing w:line="360" w:lineRule="auto"/>
              <w:ind w:firstLine="480" w:firstLineChars="200"/>
              <w:rPr>
                <w:rFonts w:hint="eastAsia" w:ascii="Times New Roman" w:hAnsi="Times New Roman" w:eastAsia="宋体" w:cs="Times New Roman"/>
                <w:color w:val="auto"/>
                <w:kern w:val="24"/>
                <w:sz w:val="24"/>
                <w:highlight w:val="none"/>
                <w:lang w:val="en-US" w:eastAsia="zh-CN"/>
              </w:rPr>
            </w:pPr>
            <w:r>
              <w:rPr>
                <w:rFonts w:hint="eastAsia" w:ascii="Times New Roman" w:hAnsi="Times New Roman" w:cs="Times New Roman"/>
                <w:color w:val="auto"/>
                <w:kern w:val="24"/>
                <w:sz w:val="24"/>
                <w:highlight w:val="none"/>
              </w:rPr>
              <w:t>本项目生产车间2内火焰切割机、半自动火焰切割机、埋弧焊机、二保焊机、电焊机、抛丸机</w:t>
            </w:r>
            <w:r>
              <w:rPr>
                <w:rFonts w:hint="eastAsia" w:cs="Times New Roman"/>
                <w:color w:val="auto"/>
                <w:kern w:val="24"/>
                <w:sz w:val="24"/>
                <w:highlight w:val="none"/>
                <w:lang w:eastAsia="zh-CN"/>
              </w:rPr>
              <w:t>、</w:t>
            </w:r>
            <w:r>
              <w:rPr>
                <w:rFonts w:hint="default" w:ascii="Times New Roman" w:hAnsi="Times New Roman" w:cs="Times New Roman"/>
                <w:color w:val="auto"/>
                <w:highlight w:val="none"/>
              </w:rPr>
              <w:t>角磨机</w:t>
            </w:r>
            <w:r>
              <w:rPr>
                <w:rFonts w:hint="eastAsia" w:ascii="Times New Roman" w:hAnsi="Times New Roman" w:cs="Times New Roman"/>
                <w:color w:val="auto"/>
                <w:kern w:val="24"/>
                <w:sz w:val="24"/>
                <w:highlight w:val="none"/>
              </w:rPr>
              <w:t>工作过程中会产生颗粒物，火焰切割机产生的颗粒物经切割枪头处可移动集气罩收集，埋弧焊机、二保焊机、电焊机</w:t>
            </w:r>
            <w:r>
              <w:rPr>
                <w:rFonts w:hint="default" w:ascii="Times New Roman" w:hAnsi="Times New Roman" w:cs="Times New Roman"/>
                <w:color w:val="auto"/>
                <w:highlight w:val="none"/>
              </w:rPr>
              <w:t>、角磨机</w:t>
            </w:r>
            <w:r>
              <w:rPr>
                <w:rFonts w:hint="eastAsia" w:ascii="Times New Roman" w:hAnsi="Times New Roman" w:cs="Times New Roman"/>
                <w:color w:val="auto"/>
                <w:kern w:val="24"/>
                <w:sz w:val="24"/>
                <w:highlight w:val="none"/>
              </w:rPr>
              <w:t>产生的颗粒物经万向集气罩收集，上述颗粒物经收集后通过一套2#布袋除尘器+18m高排气筒P2有组织排放。本项目在生产车间1内建设</w:t>
            </w:r>
            <w:r>
              <w:rPr>
                <w:rFonts w:hint="eastAsia" w:ascii="Times New Roman" w:hAnsi="Times New Roman" w:cs="Times New Roman"/>
                <w:color w:val="auto"/>
                <w:kern w:val="24"/>
                <w:sz w:val="24"/>
                <w:highlight w:val="none"/>
                <w:lang w:val="en-US" w:eastAsia="zh-CN"/>
              </w:rPr>
              <w:t>3</w:t>
            </w:r>
            <w:r>
              <w:rPr>
                <w:rFonts w:hint="eastAsia" w:ascii="Times New Roman" w:hAnsi="Times New Roman" w:cs="Times New Roman"/>
                <w:color w:val="auto"/>
                <w:kern w:val="24"/>
                <w:sz w:val="24"/>
                <w:highlight w:val="none"/>
              </w:rPr>
              <w:t>台火焰切割机、</w:t>
            </w:r>
            <w:r>
              <w:rPr>
                <w:rFonts w:hint="eastAsia" w:ascii="Times New Roman" w:hAnsi="Times New Roman" w:cs="Times New Roman"/>
                <w:color w:val="auto"/>
                <w:kern w:val="24"/>
                <w:sz w:val="24"/>
                <w:highlight w:val="none"/>
                <w:lang w:val="en-US" w:eastAsia="zh-CN"/>
              </w:rPr>
              <w:t>2</w:t>
            </w:r>
            <w:r>
              <w:rPr>
                <w:rFonts w:hint="eastAsia" w:ascii="Times New Roman" w:hAnsi="Times New Roman" w:cs="Times New Roman"/>
                <w:color w:val="auto"/>
                <w:kern w:val="24"/>
                <w:sz w:val="24"/>
                <w:highlight w:val="none"/>
              </w:rPr>
              <w:t>台埋弧焊机、</w:t>
            </w:r>
            <w:r>
              <w:rPr>
                <w:rFonts w:hint="eastAsia" w:ascii="Times New Roman" w:hAnsi="Times New Roman" w:cs="Times New Roman"/>
                <w:color w:val="auto"/>
                <w:kern w:val="24"/>
                <w:sz w:val="24"/>
                <w:highlight w:val="none"/>
                <w:lang w:val="en-US" w:eastAsia="zh-CN"/>
              </w:rPr>
              <w:t>4</w:t>
            </w:r>
            <w:r>
              <w:rPr>
                <w:rFonts w:hint="eastAsia" w:ascii="Times New Roman" w:hAnsi="Times New Roman" w:cs="Times New Roman"/>
                <w:color w:val="auto"/>
                <w:kern w:val="24"/>
                <w:sz w:val="24"/>
                <w:highlight w:val="none"/>
              </w:rPr>
              <w:t>台二保焊机、</w:t>
            </w:r>
            <w:r>
              <w:rPr>
                <w:rFonts w:hint="eastAsia" w:ascii="Times New Roman" w:hAnsi="Times New Roman" w:cs="Times New Roman"/>
                <w:color w:val="auto"/>
                <w:kern w:val="24"/>
                <w:sz w:val="24"/>
                <w:highlight w:val="none"/>
                <w:lang w:val="en-US" w:eastAsia="zh-CN"/>
              </w:rPr>
              <w:t>3</w:t>
            </w:r>
            <w:r>
              <w:rPr>
                <w:rFonts w:hint="eastAsia" w:ascii="Times New Roman" w:hAnsi="Times New Roman" w:cs="Times New Roman"/>
                <w:color w:val="auto"/>
                <w:kern w:val="24"/>
                <w:sz w:val="24"/>
                <w:highlight w:val="none"/>
              </w:rPr>
              <w:t>台电焊机</w:t>
            </w:r>
            <w:r>
              <w:rPr>
                <w:rFonts w:hint="eastAsia" w:cs="Times New Roman"/>
                <w:color w:val="auto"/>
                <w:kern w:val="24"/>
                <w:sz w:val="24"/>
                <w:highlight w:val="none"/>
                <w:lang w:eastAsia="zh-CN"/>
              </w:rPr>
              <w:t>、</w:t>
            </w:r>
            <w:r>
              <w:rPr>
                <w:rFonts w:hint="eastAsia" w:cs="Times New Roman"/>
                <w:color w:val="auto"/>
                <w:kern w:val="24"/>
                <w:sz w:val="24"/>
                <w:highlight w:val="none"/>
                <w:lang w:val="en-US" w:eastAsia="zh-CN"/>
              </w:rPr>
              <w:t>2个打磨工位</w:t>
            </w:r>
            <w:r>
              <w:rPr>
                <w:rFonts w:hint="eastAsia" w:ascii="Times New Roman" w:hAnsi="Times New Roman" w:cs="Times New Roman"/>
                <w:color w:val="auto"/>
                <w:kern w:val="24"/>
                <w:sz w:val="24"/>
                <w:highlight w:val="none"/>
                <w:lang w:eastAsia="zh-CN"/>
              </w:rPr>
              <w:t>。</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①火焰切割废气</w:t>
            </w:r>
          </w:p>
          <w:p>
            <w:pPr>
              <w:spacing w:line="360" w:lineRule="auto"/>
              <w:ind w:firstLine="480" w:firstLineChars="200"/>
              <w:rPr>
                <w:rFonts w:hint="eastAsia" w:ascii="Times New Roman" w:hAnsi="Times New Roman" w:cs="Times New Roman"/>
                <w:color w:val="auto"/>
                <w:kern w:val="0"/>
                <w:sz w:val="24"/>
                <w:highlight w:val="none"/>
                <w:lang w:eastAsia="zh-CN"/>
              </w:rPr>
            </w:pPr>
            <w:r>
              <w:rPr>
                <w:rFonts w:ascii="Times New Roman" w:hAnsi="Times New Roman" w:cs="Times New Roman"/>
                <w:color w:val="auto"/>
                <w:kern w:val="0"/>
                <w:sz w:val="24"/>
                <w:highlight w:val="none"/>
              </w:rPr>
              <w:t>根据《大气环境影响评价实用技术》中对切割发尘量的介绍可知，切割时发尘的速率为40-80mg/min，本项目取最大值80mg/min，年切割时间约为</w:t>
            </w:r>
            <w:r>
              <w:rPr>
                <w:rFonts w:hint="eastAsia" w:ascii="Times New Roman" w:hAnsi="Times New Roman" w:cs="Times New Roman"/>
                <w:color w:val="auto"/>
                <w:kern w:val="0"/>
                <w:sz w:val="24"/>
                <w:highlight w:val="none"/>
                <w:lang w:val="en-US" w:eastAsia="zh-CN"/>
              </w:rPr>
              <w:t>18</w:t>
            </w:r>
            <w:r>
              <w:rPr>
                <w:rFonts w:ascii="Times New Roman" w:hAnsi="Times New Roman" w:cs="Times New Roman"/>
                <w:color w:val="auto"/>
                <w:kern w:val="0"/>
                <w:sz w:val="24"/>
                <w:highlight w:val="none"/>
              </w:rPr>
              <w:t>00h，</w:t>
            </w:r>
            <w:r>
              <w:rPr>
                <w:rFonts w:hint="eastAsia" w:ascii="Times New Roman" w:hAnsi="Times New Roman" w:cs="Times New Roman"/>
                <w:color w:val="auto"/>
                <w:kern w:val="0"/>
                <w:sz w:val="24"/>
                <w:highlight w:val="none"/>
                <w:lang w:val="en-US" w:eastAsia="zh-CN"/>
              </w:rPr>
              <w:t>每台切割机</w:t>
            </w:r>
            <w:r>
              <w:rPr>
                <w:rFonts w:ascii="Times New Roman" w:hAnsi="Times New Roman" w:cs="Times New Roman"/>
                <w:color w:val="auto"/>
                <w:kern w:val="0"/>
                <w:sz w:val="24"/>
                <w:highlight w:val="none"/>
              </w:rPr>
              <w:t>平均每次2个枪头同时切割，故</w:t>
            </w:r>
            <w:r>
              <w:rPr>
                <w:rFonts w:hint="eastAsia" w:ascii="Times New Roman" w:hAnsi="Times New Roman" w:cs="Times New Roman"/>
                <w:color w:val="auto"/>
                <w:kern w:val="0"/>
                <w:sz w:val="24"/>
                <w:highlight w:val="none"/>
                <w:lang w:val="en-US" w:eastAsia="zh-CN"/>
              </w:rPr>
              <w:t>3</w:t>
            </w:r>
            <w:r>
              <w:rPr>
                <w:rFonts w:ascii="Times New Roman" w:hAnsi="Times New Roman" w:cs="Times New Roman"/>
                <w:color w:val="auto"/>
                <w:kern w:val="0"/>
                <w:sz w:val="24"/>
                <w:highlight w:val="none"/>
              </w:rPr>
              <w:t>台切割机粉尘年产生量为</w:t>
            </w:r>
            <w:r>
              <w:rPr>
                <w:rFonts w:hint="eastAsia" w:ascii="Times New Roman" w:hAnsi="Times New Roman" w:cs="Times New Roman"/>
                <w:color w:val="auto"/>
                <w:kern w:val="0"/>
                <w:sz w:val="24"/>
                <w:highlight w:val="none"/>
                <w:lang w:val="en-US" w:eastAsia="zh-CN"/>
              </w:rPr>
              <w:t>51.84</w:t>
            </w:r>
            <w:r>
              <w:rPr>
                <w:rFonts w:ascii="Times New Roman" w:hAnsi="Times New Roman" w:cs="Times New Roman"/>
                <w:color w:val="auto"/>
                <w:kern w:val="0"/>
                <w:sz w:val="24"/>
                <w:highlight w:val="none"/>
              </w:rPr>
              <w:t>kg/a，则颗粒物产生</w:t>
            </w:r>
            <w:r>
              <w:rPr>
                <w:rFonts w:hint="eastAsia" w:ascii="Times New Roman" w:hAnsi="Times New Roman" w:cs="Times New Roman"/>
                <w:color w:val="auto"/>
                <w:kern w:val="0"/>
                <w:sz w:val="24"/>
                <w:highlight w:val="none"/>
                <w:lang w:val="en-US" w:eastAsia="zh-CN"/>
              </w:rPr>
              <w:t>速率</w:t>
            </w:r>
            <w:r>
              <w:rPr>
                <w:rFonts w:ascii="Times New Roman" w:hAnsi="Times New Roman" w:cs="Times New Roman"/>
                <w:color w:val="auto"/>
                <w:kern w:val="0"/>
                <w:sz w:val="24"/>
                <w:highlight w:val="none"/>
              </w:rPr>
              <w:t>为</w:t>
            </w:r>
            <w:r>
              <w:rPr>
                <w:rFonts w:ascii="Times New Roman" w:hAnsi="Times New Roman" w:cs="Times New Roman"/>
                <w:color w:val="auto"/>
                <w:kern w:val="24"/>
                <w:sz w:val="24"/>
                <w:szCs w:val="20"/>
                <w:highlight w:val="none"/>
              </w:rPr>
              <w:t>0.0</w:t>
            </w:r>
            <w:r>
              <w:rPr>
                <w:rFonts w:hint="eastAsia" w:ascii="Times New Roman" w:hAnsi="Times New Roman" w:cs="Times New Roman"/>
                <w:color w:val="auto"/>
                <w:kern w:val="24"/>
                <w:sz w:val="24"/>
                <w:szCs w:val="20"/>
                <w:highlight w:val="none"/>
                <w:lang w:val="en-US" w:eastAsia="zh-CN"/>
              </w:rPr>
              <w:t>288</w:t>
            </w:r>
            <w:r>
              <w:rPr>
                <w:rFonts w:ascii="Times New Roman" w:hAnsi="Times New Roman" w:cs="Times New Roman"/>
                <w:color w:val="auto"/>
                <w:kern w:val="24"/>
                <w:sz w:val="24"/>
                <w:szCs w:val="20"/>
                <w:highlight w:val="none"/>
              </w:rPr>
              <w:t>kg/h</w:t>
            </w:r>
            <w:r>
              <w:rPr>
                <w:rFonts w:ascii="Times New Roman" w:hAnsi="Times New Roman" w:cs="Times New Roman"/>
                <w:color w:val="auto"/>
                <w:sz w:val="24"/>
                <w:highlight w:val="none"/>
              </w:rPr>
              <w:t>，</w:t>
            </w:r>
            <w:r>
              <w:rPr>
                <w:rFonts w:ascii="Times New Roman" w:hAnsi="Times New Roman" w:cs="Times New Roman"/>
                <w:color w:val="auto"/>
                <w:kern w:val="24"/>
                <w:sz w:val="24"/>
                <w:szCs w:val="20"/>
                <w:highlight w:val="none"/>
              </w:rPr>
              <w:t>收集效率按70</w:t>
            </w:r>
            <w:r>
              <w:rPr>
                <w:rFonts w:ascii="Times New Roman" w:hAnsi="Times New Roman" w:cs="Times New Roman"/>
                <w:color w:val="auto"/>
                <w:kern w:val="0"/>
                <w:sz w:val="24"/>
                <w:highlight w:val="none"/>
              </w:rPr>
              <w:t>%计，</w:t>
            </w:r>
            <w:r>
              <w:rPr>
                <w:rFonts w:hint="eastAsia" w:ascii="Times New Roman" w:hAnsi="Times New Roman" w:cs="Times New Roman"/>
                <w:color w:val="auto"/>
                <w:kern w:val="0"/>
                <w:sz w:val="24"/>
                <w:highlight w:val="none"/>
                <w:lang w:val="en-US" w:eastAsia="zh-CN"/>
              </w:rPr>
              <w:t>布袋</w:t>
            </w:r>
            <w:r>
              <w:rPr>
                <w:rFonts w:ascii="Times New Roman" w:hAnsi="Times New Roman" w:cs="Times New Roman"/>
                <w:color w:val="auto"/>
                <w:kern w:val="0"/>
                <w:sz w:val="24"/>
                <w:highlight w:val="none"/>
              </w:rPr>
              <w:t>除尘器除尘效率约为95%</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通过排气筒P2有组织产生量为36.288kg，有组织产生速率为0.02016kg/h</w:t>
            </w:r>
            <w:r>
              <w:rPr>
                <w:rFonts w:hint="eastAsia" w:ascii="Times New Roman" w:hAnsi="Times New Roman" w:cs="Times New Roman"/>
                <w:color w:val="auto"/>
                <w:kern w:val="0"/>
                <w:sz w:val="24"/>
                <w:highlight w:val="none"/>
                <w:lang w:eastAsia="zh-CN"/>
              </w:rPr>
              <w:t>。</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②二保焊接废气</w:t>
            </w:r>
          </w:p>
          <w:p>
            <w:pPr>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根据建设方提供的资料，本项目建设后</w:t>
            </w:r>
            <w:r>
              <w:rPr>
                <w:rFonts w:hint="eastAsia" w:ascii="Times New Roman" w:hAnsi="Times New Roman" w:cs="Times New Roman"/>
                <w:color w:val="auto"/>
                <w:kern w:val="0"/>
                <w:sz w:val="24"/>
                <w:highlight w:val="none"/>
                <w:lang w:val="en-US" w:eastAsia="zh-CN"/>
              </w:rPr>
              <w:t>生产</w:t>
            </w:r>
            <w:r>
              <w:rPr>
                <w:rFonts w:ascii="Times New Roman" w:hAnsi="Times New Roman" w:cs="Times New Roman"/>
                <w:color w:val="auto"/>
                <w:kern w:val="0"/>
                <w:sz w:val="24"/>
                <w:highlight w:val="none"/>
              </w:rPr>
              <w:t>车间</w:t>
            </w:r>
            <w:r>
              <w:rPr>
                <w:rFonts w:hint="eastAsia" w:cs="Times New Roman"/>
                <w:color w:val="auto"/>
                <w:kern w:val="0"/>
                <w:sz w:val="24"/>
                <w:highlight w:val="none"/>
                <w:lang w:val="en-US" w:eastAsia="zh-CN"/>
              </w:rPr>
              <w:t>2</w:t>
            </w:r>
            <w:r>
              <w:rPr>
                <w:rFonts w:ascii="Times New Roman" w:hAnsi="Times New Roman" w:cs="Times New Roman"/>
                <w:color w:val="auto"/>
                <w:kern w:val="0"/>
                <w:sz w:val="24"/>
                <w:highlight w:val="none"/>
              </w:rPr>
              <w:t>二保焊焊丝年用量为</w:t>
            </w:r>
            <w:r>
              <w:rPr>
                <w:rFonts w:hint="eastAsia" w:ascii="Times New Roman" w:hAnsi="Times New Roman" w:cs="Times New Roman"/>
                <w:color w:val="auto"/>
                <w:kern w:val="0"/>
                <w:sz w:val="24"/>
                <w:highlight w:val="none"/>
                <w:lang w:val="en-US" w:eastAsia="zh-CN"/>
              </w:rPr>
              <w:t>4</w:t>
            </w:r>
            <w:r>
              <w:rPr>
                <w:rFonts w:ascii="Times New Roman" w:hAnsi="Times New Roman" w:cs="Times New Roman"/>
                <w:color w:val="auto"/>
                <w:kern w:val="0"/>
                <w:sz w:val="24"/>
                <w:highlight w:val="none"/>
              </w:rPr>
              <w:t>t/a，二保焊采用实芯焊丝，根据《不同焊接工艺的焊接烟尘污染特征》中焊接最大发尘量计算，二保焊焊接烟尘产生量为5～8g/kg（实芯焊丝），为安全起见，本报告二保焊发尘量按8g/（kg 实芯焊丝）计，二保焊焊接时间为</w:t>
            </w:r>
            <w:r>
              <w:rPr>
                <w:rFonts w:hint="eastAsia" w:ascii="Times New Roman" w:hAnsi="Times New Roman" w:cs="Times New Roman"/>
                <w:color w:val="auto"/>
                <w:kern w:val="0"/>
                <w:sz w:val="24"/>
                <w:highlight w:val="none"/>
                <w:lang w:val="en-US" w:eastAsia="zh-CN"/>
              </w:rPr>
              <w:t>18</w:t>
            </w:r>
            <w:r>
              <w:rPr>
                <w:rFonts w:ascii="Times New Roman" w:hAnsi="Times New Roman" w:cs="Times New Roman"/>
                <w:color w:val="auto"/>
                <w:kern w:val="0"/>
                <w:sz w:val="24"/>
                <w:highlight w:val="none"/>
              </w:rPr>
              <w:t>00h/a。本项目二保焊焊接烟尘产生量为</w:t>
            </w:r>
            <w:r>
              <w:rPr>
                <w:rFonts w:hint="eastAsia" w:ascii="Times New Roman" w:hAnsi="Times New Roman" w:cs="Times New Roman"/>
                <w:color w:val="auto"/>
                <w:kern w:val="0"/>
                <w:sz w:val="24"/>
                <w:highlight w:val="none"/>
                <w:lang w:val="en-US" w:eastAsia="zh-CN"/>
              </w:rPr>
              <w:t>32</w:t>
            </w:r>
            <w:r>
              <w:rPr>
                <w:rFonts w:ascii="Times New Roman" w:hAnsi="Times New Roman" w:cs="Times New Roman"/>
                <w:color w:val="auto"/>
                <w:kern w:val="0"/>
                <w:sz w:val="24"/>
                <w:highlight w:val="none"/>
              </w:rPr>
              <w:t>kg/a</w:t>
            </w:r>
            <w:r>
              <w:rPr>
                <w:rFonts w:hint="eastAsia" w:ascii="Times New Roman" w:hAnsi="Times New Roman" w:cs="Times New Roman"/>
                <w:color w:val="auto"/>
                <w:kern w:val="0"/>
                <w:sz w:val="24"/>
                <w:highlight w:val="none"/>
                <w:lang w:eastAsia="zh-CN"/>
              </w:rPr>
              <w:t>，</w:t>
            </w:r>
            <w:r>
              <w:rPr>
                <w:rFonts w:ascii="Times New Roman" w:hAnsi="Times New Roman" w:cs="Times New Roman"/>
                <w:color w:val="auto"/>
                <w:kern w:val="0"/>
                <w:sz w:val="24"/>
                <w:highlight w:val="none"/>
              </w:rPr>
              <w:t>则颗粒物产生</w:t>
            </w:r>
            <w:r>
              <w:rPr>
                <w:rFonts w:hint="eastAsia" w:ascii="Times New Roman" w:hAnsi="Times New Roman" w:cs="Times New Roman"/>
                <w:color w:val="auto"/>
                <w:kern w:val="0"/>
                <w:sz w:val="24"/>
                <w:highlight w:val="none"/>
                <w:lang w:val="en-US" w:eastAsia="zh-CN"/>
              </w:rPr>
              <w:t>速率</w:t>
            </w:r>
            <w:r>
              <w:rPr>
                <w:rFonts w:ascii="Times New Roman" w:hAnsi="Times New Roman" w:cs="Times New Roman"/>
                <w:color w:val="auto"/>
                <w:kern w:val="0"/>
                <w:sz w:val="24"/>
                <w:highlight w:val="none"/>
              </w:rPr>
              <w:t>为0.</w:t>
            </w:r>
            <w:r>
              <w:rPr>
                <w:rFonts w:hint="eastAsia" w:ascii="Times New Roman" w:hAnsi="Times New Roman" w:cs="Times New Roman"/>
                <w:color w:val="auto"/>
                <w:kern w:val="0"/>
                <w:sz w:val="24"/>
                <w:highlight w:val="none"/>
                <w:lang w:val="en-US" w:eastAsia="zh-CN"/>
              </w:rPr>
              <w:t>018</w:t>
            </w:r>
            <w:r>
              <w:rPr>
                <w:rFonts w:ascii="Times New Roman" w:hAnsi="Times New Roman" w:cs="Times New Roman"/>
                <w:color w:val="auto"/>
                <w:kern w:val="0"/>
                <w:sz w:val="24"/>
                <w:highlight w:val="none"/>
              </w:rPr>
              <w:t>kg/h，</w:t>
            </w:r>
            <w:r>
              <w:rPr>
                <w:rFonts w:ascii="Times New Roman" w:hAnsi="Times New Roman" w:cs="Times New Roman"/>
                <w:color w:val="auto"/>
                <w:kern w:val="24"/>
                <w:sz w:val="24"/>
                <w:szCs w:val="20"/>
                <w:highlight w:val="none"/>
              </w:rPr>
              <w:t>收集效率按70</w:t>
            </w:r>
            <w:r>
              <w:rPr>
                <w:rFonts w:ascii="Times New Roman" w:hAnsi="Times New Roman" w:cs="Times New Roman"/>
                <w:color w:val="auto"/>
                <w:kern w:val="0"/>
                <w:sz w:val="24"/>
                <w:highlight w:val="none"/>
              </w:rPr>
              <w:t>%计，</w:t>
            </w:r>
            <w:r>
              <w:rPr>
                <w:rFonts w:hint="eastAsia" w:ascii="Times New Roman" w:hAnsi="Times New Roman" w:cs="Times New Roman"/>
                <w:color w:val="auto"/>
                <w:kern w:val="0"/>
                <w:sz w:val="24"/>
                <w:highlight w:val="none"/>
                <w:lang w:val="en-US" w:eastAsia="zh-CN"/>
              </w:rPr>
              <w:t>布袋</w:t>
            </w:r>
            <w:r>
              <w:rPr>
                <w:rFonts w:ascii="Times New Roman" w:hAnsi="Times New Roman" w:cs="Times New Roman"/>
                <w:color w:val="auto"/>
                <w:kern w:val="0"/>
                <w:sz w:val="24"/>
                <w:highlight w:val="none"/>
              </w:rPr>
              <w:t>除尘器除尘效率约为95%</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通过排气筒P2有组织产生量为22.4kg，有组织产生速率为0.0126kg/h</w:t>
            </w:r>
            <w:r>
              <w:rPr>
                <w:rFonts w:hint="eastAsia" w:ascii="Times New Roman" w:hAnsi="Times New Roman" w:cs="Times New Roman"/>
                <w:color w:val="auto"/>
                <w:kern w:val="0"/>
                <w:sz w:val="24"/>
                <w:highlight w:val="none"/>
                <w:lang w:eastAsia="zh-CN"/>
              </w:rPr>
              <w:t>。</w:t>
            </w:r>
          </w:p>
          <w:p>
            <w:pPr>
              <w:spacing w:line="360" w:lineRule="auto"/>
              <w:ind w:firstLine="480" w:firstLineChars="200"/>
              <w:rPr>
                <w:rFonts w:ascii="Times New Roman" w:hAnsi="Times New Roman" w:cs="Times New Roman"/>
                <w:color w:val="auto"/>
                <w:sz w:val="24"/>
                <w:szCs w:val="20"/>
                <w:highlight w:val="none"/>
              </w:rPr>
            </w:pPr>
            <w:r>
              <w:rPr>
                <w:rFonts w:hint="eastAsia" w:ascii="Times New Roman" w:hAnsi="Times New Roman" w:cs="Times New Roman"/>
                <w:color w:val="auto"/>
                <w:kern w:val="0"/>
                <w:sz w:val="24"/>
                <w:highlight w:val="none"/>
                <w:lang w:val="en-US" w:eastAsia="zh-CN"/>
              </w:rPr>
              <w:t>③电焊焊接废气</w:t>
            </w:r>
          </w:p>
          <w:p>
            <w:pPr>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sz w:val="24"/>
                <w:szCs w:val="20"/>
                <w:highlight w:val="none"/>
              </w:rPr>
              <w:t>根据建设方提供的资料，本项目</w:t>
            </w:r>
            <w:r>
              <w:rPr>
                <w:rFonts w:hint="eastAsia" w:ascii="Times New Roman" w:hAnsi="Times New Roman" w:cs="Times New Roman"/>
                <w:color w:val="auto"/>
                <w:sz w:val="24"/>
                <w:szCs w:val="20"/>
                <w:highlight w:val="none"/>
                <w:lang w:val="en-US" w:eastAsia="zh-CN"/>
              </w:rPr>
              <w:t>生产车间</w:t>
            </w:r>
            <w:r>
              <w:rPr>
                <w:rFonts w:hint="eastAsia" w:cs="Times New Roman"/>
                <w:color w:val="auto"/>
                <w:sz w:val="24"/>
                <w:szCs w:val="20"/>
                <w:highlight w:val="none"/>
                <w:lang w:val="en-US" w:eastAsia="zh-CN"/>
              </w:rPr>
              <w:t>2</w:t>
            </w:r>
            <w:r>
              <w:rPr>
                <w:rFonts w:ascii="Times New Roman" w:hAnsi="Times New Roman" w:cs="Times New Roman"/>
                <w:color w:val="auto"/>
                <w:sz w:val="24"/>
                <w:szCs w:val="20"/>
                <w:highlight w:val="none"/>
              </w:rPr>
              <w:t>电弧焊焊条年用量为</w:t>
            </w:r>
            <w:r>
              <w:rPr>
                <w:rFonts w:hint="eastAsia" w:ascii="Times New Roman" w:hAnsi="Times New Roman" w:cs="Times New Roman"/>
                <w:color w:val="auto"/>
                <w:sz w:val="24"/>
                <w:szCs w:val="20"/>
                <w:highlight w:val="none"/>
                <w:lang w:val="en-US" w:eastAsia="zh-CN"/>
              </w:rPr>
              <w:t>3</w:t>
            </w:r>
            <w:r>
              <w:rPr>
                <w:rFonts w:ascii="Times New Roman" w:hAnsi="Times New Roman" w:cs="Times New Roman"/>
                <w:color w:val="auto"/>
                <w:sz w:val="24"/>
                <w:szCs w:val="20"/>
                <w:highlight w:val="none"/>
              </w:rPr>
              <w:t>t/a，</w:t>
            </w:r>
            <w:r>
              <w:rPr>
                <w:rFonts w:ascii="Times New Roman" w:hAnsi="Times New Roman" w:cs="Times New Roman"/>
                <w:color w:val="auto"/>
                <w:kern w:val="0"/>
                <w:sz w:val="24"/>
                <w:highlight w:val="none"/>
              </w:rPr>
              <w:t>根据《不同焊接工艺的焊接烟尘污染特征》中焊接最大发尘量计算</w:t>
            </w:r>
            <w:r>
              <w:rPr>
                <w:rFonts w:ascii="Times New Roman" w:hAnsi="Times New Roman" w:cs="Times New Roman"/>
                <w:color w:val="auto"/>
                <w:sz w:val="24"/>
                <w:szCs w:val="20"/>
                <w:highlight w:val="none"/>
              </w:rPr>
              <w:t>，焊接材料的起尘量为6~8g/kg（钛钙型焊条），为安全起见，本报告按8g/kg（钛钙型焊条）计。根据建设单位提供的资料，本项目电弧焊焊条用量为</w:t>
            </w:r>
            <w:r>
              <w:rPr>
                <w:rFonts w:hint="eastAsia" w:ascii="Times New Roman" w:hAnsi="Times New Roman" w:cs="Times New Roman"/>
                <w:color w:val="auto"/>
                <w:sz w:val="24"/>
                <w:szCs w:val="20"/>
                <w:highlight w:val="none"/>
                <w:lang w:val="en-US" w:eastAsia="zh-CN"/>
              </w:rPr>
              <w:t>3</w:t>
            </w:r>
            <w:r>
              <w:rPr>
                <w:rFonts w:ascii="Times New Roman" w:hAnsi="Times New Roman" w:cs="Times New Roman"/>
                <w:color w:val="auto"/>
                <w:sz w:val="24"/>
                <w:szCs w:val="20"/>
                <w:highlight w:val="none"/>
              </w:rPr>
              <w:t>t/a，年焊接时间</w:t>
            </w:r>
            <w:r>
              <w:rPr>
                <w:rFonts w:hint="eastAsia" w:ascii="Times New Roman" w:hAnsi="Times New Roman" w:cs="Times New Roman"/>
                <w:color w:val="auto"/>
                <w:sz w:val="24"/>
                <w:szCs w:val="20"/>
                <w:highlight w:val="none"/>
                <w:lang w:val="en-US" w:eastAsia="zh-CN"/>
              </w:rPr>
              <w:t>18</w:t>
            </w:r>
            <w:r>
              <w:rPr>
                <w:rFonts w:ascii="Times New Roman" w:hAnsi="Times New Roman" w:cs="Times New Roman"/>
                <w:color w:val="auto"/>
                <w:sz w:val="24"/>
                <w:szCs w:val="20"/>
                <w:highlight w:val="none"/>
              </w:rPr>
              <w:t>00h，则电弧焊焊接烟尘产生量为</w:t>
            </w:r>
            <w:r>
              <w:rPr>
                <w:rFonts w:hint="eastAsia" w:ascii="Times New Roman" w:hAnsi="Times New Roman" w:cs="Times New Roman"/>
                <w:color w:val="auto"/>
                <w:sz w:val="24"/>
                <w:szCs w:val="20"/>
                <w:highlight w:val="none"/>
                <w:lang w:val="en-US" w:eastAsia="zh-CN"/>
              </w:rPr>
              <w:t>24</w:t>
            </w:r>
            <w:r>
              <w:rPr>
                <w:rFonts w:ascii="Times New Roman" w:hAnsi="Times New Roman" w:cs="Times New Roman"/>
                <w:color w:val="auto"/>
                <w:sz w:val="24"/>
                <w:szCs w:val="20"/>
                <w:highlight w:val="none"/>
              </w:rPr>
              <w:t>kg/a</w:t>
            </w:r>
            <w:r>
              <w:rPr>
                <w:rFonts w:hint="eastAsia" w:ascii="Times New Roman" w:hAnsi="Times New Roman" w:cs="Times New Roman"/>
                <w:color w:val="auto"/>
                <w:sz w:val="24"/>
                <w:szCs w:val="20"/>
                <w:highlight w:val="none"/>
                <w:lang w:eastAsia="zh-CN"/>
              </w:rPr>
              <w:t>，</w:t>
            </w:r>
            <w:r>
              <w:rPr>
                <w:rFonts w:ascii="Times New Roman" w:hAnsi="Times New Roman" w:cs="Times New Roman"/>
                <w:color w:val="auto"/>
                <w:kern w:val="0"/>
                <w:sz w:val="24"/>
                <w:highlight w:val="none"/>
              </w:rPr>
              <w:t>则颗粒物产生</w:t>
            </w:r>
            <w:r>
              <w:rPr>
                <w:rFonts w:hint="eastAsia" w:ascii="Times New Roman" w:hAnsi="Times New Roman" w:cs="Times New Roman"/>
                <w:color w:val="auto"/>
                <w:kern w:val="0"/>
                <w:sz w:val="24"/>
                <w:highlight w:val="none"/>
                <w:lang w:val="en-US" w:eastAsia="zh-CN"/>
              </w:rPr>
              <w:t>速率</w:t>
            </w:r>
            <w:r>
              <w:rPr>
                <w:rFonts w:ascii="Times New Roman" w:hAnsi="Times New Roman" w:cs="Times New Roman"/>
                <w:color w:val="auto"/>
                <w:kern w:val="0"/>
                <w:sz w:val="24"/>
                <w:highlight w:val="none"/>
              </w:rPr>
              <w:t>为</w:t>
            </w:r>
            <w:r>
              <w:rPr>
                <w:rFonts w:ascii="Times New Roman" w:hAnsi="Times New Roman" w:cs="Times New Roman"/>
                <w:color w:val="auto"/>
                <w:sz w:val="24"/>
                <w:szCs w:val="20"/>
                <w:highlight w:val="none"/>
              </w:rPr>
              <w:t>0.0</w:t>
            </w:r>
            <w:r>
              <w:rPr>
                <w:rFonts w:hint="eastAsia" w:ascii="Times New Roman" w:hAnsi="Times New Roman" w:cs="Times New Roman"/>
                <w:color w:val="auto"/>
                <w:sz w:val="24"/>
                <w:szCs w:val="20"/>
                <w:highlight w:val="none"/>
                <w:lang w:val="en-US" w:eastAsia="zh-CN"/>
              </w:rPr>
              <w:t>13</w:t>
            </w:r>
            <w:r>
              <w:rPr>
                <w:rFonts w:ascii="Times New Roman" w:hAnsi="Times New Roman" w:cs="Times New Roman"/>
                <w:color w:val="auto"/>
                <w:sz w:val="24"/>
                <w:szCs w:val="20"/>
                <w:highlight w:val="none"/>
              </w:rPr>
              <w:t>kg/h，</w:t>
            </w:r>
            <w:r>
              <w:rPr>
                <w:rFonts w:ascii="Times New Roman" w:hAnsi="Times New Roman" w:cs="Times New Roman"/>
                <w:color w:val="auto"/>
                <w:kern w:val="24"/>
                <w:sz w:val="24"/>
                <w:szCs w:val="20"/>
                <w:highlight w:val="none"/>
              </w:rPr>
              <w:t>收集效率按70</w:t>
            </w:r>
            <w:r>
              <w:rPr>
                <w:rFonts w:ascii="Times New Roman" w:hAnsi="Times New Roman" w:cs="Times New Roman"/>
                <w:color w:val="auto"/>
                <w:kern w:val="0"/>
                <w:sz w:val="24"/>
                <w:highlight w:val="none"/>
              </w:rPr>
              <w:t>%计，</w:t>
            </w:r>
            <w:r>
              <w:rPr>
                <w:rFonts w:hint="eastAsia" w:ascii="Times New Roman" w:hAnsi="Times New Roman" w:cs="Times New Roman"/>
                <w:color w:val="auto"/>
                <w:kern w:val="0"/>
                <w:sz w:val="24"/>
                <w:highlight w:val="none"/>
                <w:lang w:val="en-US" w:eastAsia="zh-CN"/>
              </w:rPr>
              <w:t>布袋</w:t>
            </w:r>
            <w:r>
              <w:rPr>
                <w:rFonts w:ascii="Times New Roman" w:hAnsi="Times New Roman" w:cs="Times New Roman"/>
                <w:color w:val="auto"/>
                <w:kern w:val="0"/>
                <w:sz w:val="24"/>
                <w:highlight w:val="none"/>
              </w:rPr>
              <w:t>除尘器除尘效率约为95%</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通过排气筒P2有组织产生量为16.8kg，有组织产生速率为0.0091kg/h</w:t>
            </w:r>
            <w:r>
              <w:rPr>
                <w:rFonts w:hint="eastAsia" w:ascii="Times New Roman" w:hAnsi="Times New Roman" w:cs="Times New Roman"/>
                <w:color w:val="auto"/>
                <w:kern w:val="0"/>
                <w:sz w:val="24"/>
                <w:highlight w:val="none"/>
                <w:lang w:eastAsia="zh-CN"/>
              </w:rPr>
              <w:t>。</w:t>
            </w:r>
          </w:p>
          <w:p>
            <w:pPr>
              <w:spacing w:line="360" w:lineRule="auto"/>
              <w:ind w:firstLine="480" w:firstLineChars="200"/>
              <w:rPr>
                <w:color w:val="auto"/>
                <w:highlight w:val="none"/>
              </w:rPr>
            </w:pPr>
            <w:r>
              <w:rPr>
                <w:rFonts w:hint="eastAsia" w:ascii="Times New Roman" w:hAnsi="Times New Roman" w:cs="Times New Roman"/>
                <w:color w:val="auto"/>
                <w:sz w:val="24"/>
                <w:szCs w:val="20"/>
                <w:highlight w:val="none"/>
                <w:lang w:val="en-US" w:eastAsia="zh-CN"/>
              </w:rPr>
              <w:t>④埋弧焊焊接废气</w:t>
            </w:r>
          </w:p>
          <w:p>
            <w:pPr>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sz w:val="24"/>
                <w:szCs w:val="20"/>
                <w:highlight w:val="none"/>
              </w:rPr>
              <w:t>根据建设方提供的资料，</w:t>
            </w:r>
            <w:r>
              <w:rPr>
                <w:rFonts w:ascii="Times New Roman" w:hAnsi="Times New Roman" w:cs="Times New Roman"/>
                <w:color w:val="auto"/>
                <w:kern w:val="0"/>
                <w:sz w:val="24"/>
                <w:highlight w:val="none"/>
              </w:rPr>
              <w:t>本项目建设完成后，</w:t>
            </w:r>
            <w:r>
              <w:rPr>
                <w:rFonts w:hint="eastAsia" w:ascii="Times New Roman" w:hAnsi="Times New Roman" w:cs="Times New Roman"/>
                <w:color w:val="auto"/>
                <w:kern w:val="0"/>
                <w:sz w:val="24"/>
                <w:highlight w:val="none"/>
                <w:lang w:val="en-US" w:eastAsia="zh-CN"/>
              </w:rPr>
              <w:t>生产</w:t>
            </w:r>
            <w:r>
              <w:rPr>
                <w:rFonts w:ascii="Times New Roman" w:hAnsi="Times New Roman" w:cs="Times New Roman"/>
                <w:color w:val="auto"/>
                <w:kern w:val="0"/>
                <w:sz w:val="24"/>
                <w:highlight w:val="none"/>
              </w:rPr>
              <w:t>车间</w:t>
            </w:r>
            <w:r>
              <w:rPr>
                <w:rFonts w:hint="eastAsia" w:ascii="Times New Roman" w:hAnsi="Times New Roman" w:cs="Times New Roman"/>
                <w:color w:val="auto"/>
                <w:kern w:val="0"/>
                <w:sz w:val="24"/>
                <w:highlight w:val="none"/>
                <w:lang w:val="en-US" w:eastAsia="zh-CN"/>
              </w:rPr>
              <w:t>1</w:t>
            </w:r>
            <w:r>
              <w:rPr>
                <w:rFonts w:ascii="Times New Roman" w:hAnsi="Times New Roman" w:cs="Times New Roman"/>
                <w:color w:val="auto"/>
                <w:kern w:val="0"/>
                <w:sz w:val="24"/>
                <w:highlight w:val="none"/>
              </w:rPr>
              <w:t>埋弧焊焊丝年用量为</w:t>
            </w:r>
            <w:r>
              <w:rPr>
                <w:rFonts w:hint="eastAsia" w:ascii="Times New Roman" w:hAnsi="Times New Roman" w:cs="Times New Roman"/>
                <w:color w:val="auto"/>
                <w:kern w:val="0"/>
                <w:sz w:val="24"/>
                <w:highlight w:val="none"/>
                <w:lang w:val="en-US" w:eastAsia="zh-CN"/>
              </w:rPr>
              <w:t>2</w:t>
            </w:r>
            <w:r>
              <w:rPr>
                <w:rFonts w:ascii="Times New Roman" w:hAnsi="Times New Roman" w:cs="Times New Roman"/>
                <w:color w:val="auto"/>
                <w:kern w:val="0"/>
                <w:sz w:val="24"/>
                <w:highlight w:val="none"/>
              </w:rPr>
              <w:t>t/a，焊剂年用量为</w:t>
            </w:r>
            <w:r>
              <w:rPr>
                <w:rFonts w:hint="eastAsia" w:ascii="Times New Roman" w:hAnsi="Times New Roman" w:cs="Times New Roman"/>
                <w:color w:val="auto"/>
                <w:kern w:val="0"/>
                <w:sz w:val="24"/>
                <w:highlight w:val="none"/>
                <w:lang w:val="en-US" w:eastAsia="zh-CN"/>
              </w:rPr>
              <w:t>1.5</w:t>
            </w:r>
            <w:r>
              <w:rPr>
                <w:rFonts w:ascii="Times New Roman" w:hAnsi="Times New Roman" w:cs="Times New Roman"/>
                <w:color w:val="auto"/>
                <w:kern w:val="0"/>
                <w:sz w:val="24"/>
                <w:highlight w:val="none"/>
              </w:rPr>
              <w:t>t/a，埋弧焊采用实芯焊丝，根据《不同焊接工艺的焊接烟尘污染特征》中焊接最大发尘量计算，埋弧焊焊接烟尘产生量为0.1～0.3g/kg，为</w:t>
            </w:r>
            <w:r>
              <w:rPr>
                <w:rFonts w:hint="eastAsia" w:ascii="Times New Roman" w:hAnsi="Times New Roman" w:cs="Times New Roman"/>
                <w:color w:val="auto"/>
                <w:kern w:val="0"/>
                <w:sz w:val="24"/>
                <w:highlight w:val="none"/>
                <w:lang w:val="en-US" w:eastAsia="zh-CN"/>
              </w:rPr>
              <w:t>保守</w:t>
            </w:r>
            <w:r>
              <w:rPr>
                <w:rFonts w:ascii="Times New Roman" w:hAnsi="Times New Roman" w:cs="Times New Roman"/>
                <w:color w:val="auto"/>
                <w:kern w:val="0"/>
                <w:sz w:val="24"/>
                <w:highlight w:val="none"/>
              </w:rPr>
              <w:t>起见，本报告埋弧焊发尘量按0.3g/（kg焊接材料）计，埋弧焊焊接时间为</w:t>
            </w:r>
            <w:r>
              <w:rPr>
                <w:rFonts w:hint="eastAsia" w:ascii="Times New Roman" w:hAnsi="Times New Roman" w:cs="Times New Roman"/>
                <w:color w:val="auto"/>
                <w:kern w:val="0"/>
                <w:sz w:val="24"/>
                <w:highlight w:val="none"/>
                <w:lang w:val="en-US" w:eastAsia="zh-CN"/>
              </w:rPr>
              <w:t>18</w:t>
            </w:r>
            <w:r>
              <w:rPr>
                <w:rFonts w:ascii="Times New Roman" w:hAnsi="Times New Roman" w:cs="Times New Roman"/>
                <w:color w:val="auto"/>
                <w:kern w:val="0"/>
                <w:sz w:val="24"/>
                <w:highlight w:val="none"/>
              </w:rPr>
              <w:t>00h/a，则埋弧焊焊接烟尘产生量为</w:t>
            </w:r>
            <w:r>
              <w:rPr>
                <w:rFonts w:hint="eastAsia" w:ascii="Times New Roman" w:hAnsi="Times New Roman" w:cs="Times New Roman"/>
                <w:color w:val="auto"/>
                <w:kern w:val="0"/>
                <w:sz w:val="24"/>
                <w:highlight w:val="none"/>
                <w:lang w:val="en-US" w:eastAsia="zh-CN"/>
              </w:rPr>
              <w:t>1.05</w:t>
            </w:r>
            <w:r>
              <w:rPr>
                <w:rFonts w:ascii="Times New Roman" w:hAnsi="Times New Roman" w:cs="Times New Roman"/>
                <w:color w:val="auto"/>
                <w:kern w:val="0"/>
                <w:sz w:val="24"/>
                <w:highlight w:val="none"/>
              </w:rPr>
              <w:t>kg/a，则颗粒物产生</w:t>
            </w:r>
            <w:r>
              <w:rPr>
                <w:rFonts w:hint="eastAsia" w:ascii="Times New Roman" w:hAnsi="Times New Roman" w:cs="Times New Roman"/>
                <w:color w:val="auto"/>
                <w:kern w:val="0"/>
                <w:sz w:val="24"/>
                <w:highlight w:val="none"/>
                <w:lang w:val="en-US" w:eastAsia="zh-CN"/>
              </w:rPr>
              <w:t>速率</w:t>
            </w:r>
            <w:r>
              <w:rPr>
                <w:rFonts w:ascii="Times New Roman" w:hAnsi="Times New Roman" w:cs="Times New Roman"/>
                <w:color w:val="auto"/>
                <w:kern w:val="0"/>
                <w:sz w:val="24"/>
                <w:highlight w:val="none"/>
              </w:rPr>
              <w:t>为</w:t>
            </w:r>
            <w:r>
              <w:rPr>
                <w:rFonts w:ascii="Times New Roman" w:hAnsi="Times New Roman" w:cs="Times New Roman"/>
                <w:color w:val="auto"/>
                <w:sz w:val="24"/>
                <w:szCs w:val="20"/>
                <w:highlight w:val="none"/>
              </w:rPr>
              <w:t>0.0</w:t>
            </w:r>
            <w:r>
              <w:rPr>
                <w:rFonts w:hint="eastAsia" w:ascii="Times New Roman" w:hAnsi="Times New Roman" w:cs="Times New Roman"/>
                <w:color w:val="auto"/>
                <w:sz w:val="24"/>
                <w:szCs w:val="20"/>
                <w:highlight w:val="none"/>
                <w:lang w:val="en-US" w:eastAsia="zh-CN"/>
              </w:rPr>
              <w:t>006</w:t>
            </w:r>
            <w:r>
              <w:rPr>
                <w:rFonts w:ascii="Times New Roman" w:hAnsi="Times New Roman" w:cs="Times New Roman"/>
                <w:color w:val="auto"/>
                <w:sz w:val="24"/>
                <w:szCs w:val="20"/>
                <w:highlight w:val="none"/>
              </w:rPr>
              <w:t>kg/h，</w:t>
            </w:r>
            <w:r>
              <w:rPr>
                <w:rFonts w:ascii="Times New Roman" w:hAnsi="Times New Roman" w:cs="Times New Roman"/>
                <w:color w:val="auto"/>
                <w:kern w:val="24"/>
                <w:sz w:val="24"/>
                <w:szCs w:val="20"/>
                <w:highlight w:val="none"/>
              </w:rPr>
              <w:t>收集效率按70</w:t>
            </w:r>
            <w:r>
              <w:rPr>
                <w:rFonts w:ascii="Times New Roman" w:hAnsi="Times New Roman" w:cs="Times New Roman"/>
                <w:color w:val="auto"/>
                <w:kern w:val="0"/>
                <w:sz w:val="24"/>
                <w:highlight w:val="none"/>
              </w:rPr>
              <w:t>%计，</w:t>
            </w:r>
            <w:r>
              <w:rPr>
                <w:rFonts w:hint="eastAsia" w:ascii="Times New Roman" w:hAnsi="Times New Roman" w:cs="Times New Roman"/>
                <w:color w:val="auto"/>
                <w:kern w:val="0"/>
                <w:sz w:val="24"/>
                <w:highlight w:val="none"/>
                <w:lang w:val="en-US" w:eastAsia="zh-CN"/>
              </w:rPr>
              <w:t>布袋</w:t>
            </w:r>
            <w:r>
              <w:rPr>
                <w:rFonts w:ascii="Times New Roman" w:hAnsi="Times New Roman" w:cs="Times New Roman"/>
                <w:color w:val="auto"/>
                <w:kern w:val="0"/>
                <w:sz w:val="24"/>
                <w:highlight w:val="none"/>
              </w:rPr>
              <w:t>除尘器除尘效率约为95%</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通过排气筒P2有组织产生量为0.735kg，有组织产生速率为0.00042kg/h</w:t>
            </w:r>
            <w:r>
              <w:rPr>
                <w:rFonts w:hint="eastAsia" w:ascii="Times New Roman" w:hAnsi="Times New Roman" w:cs="Times New Roman"/>
                <w:color w:val="auto"/>
                <w:kern w:val="0"/>
                <w:sz w:val="24"/>
                <w:highlight w:val="none"/>
                <w:lang w:eastAsia="zh-CN"/>
              </w:rPr>
              <w:t>。</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cs="Times New Roman"/>
                <w:color w:val="auto"/>
                <w:kern w:val="0"/>
                <w:sz w:val="24"/>
                <w:highlight w:val="none"/>
                <w:lang w:val="en-US" w:eastAsia="zh-CN"/>
              </w:rPr>
              <w:t>⑤打磨废气</w:t>
            </w:r>
          </w:p>
          <w:p>
            <w:pPr>
              <w:spacing w:line="360" w:lineRule="auto"/>
              <w:ind w:firstLine="480" w:firstLineChars="200"/>
              <w:rPr>
                <w:rFonts w:hint="eastAsia" w:ascii="Times New Roman" w:hAnsi="Times New Roman" w:cs="Times New Roman"/>
                <w:color w:val="auto"/>
                <w:kern w:val="0"/>
                <w:sz w:val="24"/>
                <w:highlight w:val="none"/>
                <w:lang w:val="en-US" w:eastAsia="zh-CN"/>
              </w:rPr>
            </w:pPr>
            <w:r>
              <w:rPr>
                <w:rFonts w:ascii="Times New Roman" w:hAnsi="Times New Roman" w:cs="Times New Roman"/>
                <w:color w:val="auto"/>
                <w:kern w:val="24"/>
                <w:sz w:val="24"/>
                <w:szCs w:val="20"/>
                <w:highlight w:val="none"/>
              </w:rPr>
              <w:t>根据建设单位提供资料，经过埋弧焊后部分工件表面会存在少量毛刺，需要进行打磨，本项目</w:t>
            </w:r>
            <w:r>
              <w:rPr>
                <w:rFonts w:hint="eastAsia" w:ascii="Times New Roman" w:hAnsi="Times New Roman" w:cs="Times New Roman"/>
                <w:color w:val="auto"/>
                <w:kern w:val="24"/>
                <w:sz w:val="24"/>
                <w:szCs w:val="20"/>
                <w:highlight w:val="none"/>
                <w:lang w:val="en-US" w:eastAsia="zh-CN"/>
              </w:rPr>
              <w:t>生产车间2</w:t>
            </w:r>
            <w:r>
              <w:rPr>
                <w:rFonts w:ascii="Times New Roman" w:hAnsi="Times New Roman" w:cs="Times New Roman"/>
                <w:color w:val="auto"/>
                <w:kern w:val="24"/>
                <w:sz w:val="24"/>
                <w:szCs w:val="20"/>
                <w:highlight w:val="none"/>
              </w:rPr>
              <w:t>约</w:t>
            </w:r>
            <w:r>
              <w:rPr>
                <w:rFonts w:hint="eastAsia" w:ascii="Times New Roman" w:hAnsi="Times New Roman" w:cs="Times New Roman"/>
                <w:color w:val="auto"/>
                <w:kern w:val="24"/>
                <w:sz w:val="24"/>
                <w:szCs w:val="20"/>
                <w:highlight w:val="none"/>
                <w:lang w:val="en-US" w:eastAsia="zh-CN"/>
              </w:rPr>
              <w:t>10</w:t>
            </w:r>
            <w:r>
              <w:rPr>
                <w:rFonts w:ascii="Times New Roman" w:hAnsi="Times New Roman" w:cs="Times New Roman"/>
                <w:color w:val="auto"/>
                <w:kern w:val="24"/>
                <w:sz w:val="24"/>
                <w:szCs w:val="20"/>
                <w:highlight w:val="none"/>
              </w:rPr>
              <w:t>0吨工件需要进行打磨，该打磨过程会产生极少量粉尘颗粒物，参考</w:t>
            </w:r>
            <w:r>
              <w:rPr>
                <w:rFonts w:ascii="Times New Roman" w:hAnsi="Times New Roman" w:cs="Times New Roman"/>
                <w:color w:val="auto"/>
                <w:sz w:val="24"/>
                <w:highlight w:val="none"/>
              </w:rPr>
              <w:t>《第二次全国污染源普查工业污染源产排污系数手册》钢材打磨排污系数2.19kg/t</w:t>
            </w:r>
            <w:r>
              <w:rPr>
                <w:rFonts w:ascii="Times New Roman" w:hAnsi="Times New Roman" w:cs="Times New Roman"/>
                <w:color w:val="auto"/>
                <w:kern w:val="24"/>
                <w:sz w:val="24"/>
                <w:szCs w:val="20"/>
                <w:highlight w:val="none"/>
              </w:rPr>
              <w:t>，则产生量为219kg/a（0.365kg/h），打磨工序每天运行2h，年运行时间为600h</w:t>
            </w:r>
            <w:r>
              <w:rPr>
                <w:rFonts w:hint="eastAsia" w:ascii="Times New Roman" w:hAnsi="Times New Roman" w:cs="Times New Roman"/>
                <w:color w:val="auto"/>
                <w:kern w:val="24"/>
                <w:sz w:val="24"/>
                <w:szCs w:val="20"/>
                <w:highlight w:val="none"/>
                <w:lang w:eastAsia="zh-CN"/>
              </w:rPr>
              <w:t>，</w:t>
            </w:r>
            <w:r>
              <w:rPr>
                <w:rFonts w:ascii="Times New Roman" w:hAnsi="Times New Roman" w:cs="Times New Roman"/>
                <w:color w:val="auto"/>
                <w:kern w:val="24"/>
                <w:sz w:val="24"/>
                <w:szCs w:val="20"/>
                <w:highlight w:val="none"/>
              </w:rPr>
              <w:t>产生的颗粒物经焊接工位万向柔性吸气臂集气罩收集，收集效率按70%计，通过管道经</w:t>
            </w:r>
            <w:r>
              <w:rPr>
                <w:rFonts w:hint="eastAsia" w:ascii="Times New Roman" w:hAnsi="Times New Roman" w:cs="Times New Roman"/>
                <w:color w:val="auto"/>
                <w:kern w:val="24"/>
                <w:sz w:val="24"/>
                <w:szCs w:val="20"/>
                <w:highlight w:val="none"/>
                <w:lang w:val="en-US" w:eastAsia="zh-CN"/>
              </w:rPr>
              <w:t>1#布袋</w:t>
            </w:r>
            <w:r>
              <w:rPr>
                <w:rFonts w:ascii="Times New Roman" w:hAnsi="Times New Roman" w:cs="Times New Roman"/>
                <w:color w:val="auto"/>
                <w:kern w:val="24"/>
                <w:sz w:val="24"/>
                <w:szCs w:val="20"/>
                <w:highlight w:val="none"/>
              </w:rPr>
              <w:t>除尘器进行处理，处理效率按95%计，则打磨工序颗粒物有组织产生量为153.3kg/a</w:t>
            </w:r>
            <w:r>
              <w:rPr>
                <w:rFonts w:hint="eastAsia" w:ascii="Times New Roman" w:hAnsi="Times New Roman" w:cs="Times New Roman"/>
                <w:color w:val="auto"/>
                <w:kern w:val="24"/>
                <w:sz w:val="24"/>
                <w:szCs w:val="20"/>
                <w:highlight w:val="none"/>
                <w:lang w:eastAsia="zh-CN"/>
              </w:rPr>
              <w:t>，</w:t>
            </w:r>
            <w:r>
              <w:rPr>
                <w:rFonts w:hint="eastAsia" w:ascii="Times New Roman" w:hAnsi="Times New Roman" w:cs="Times New Roman"/>
                <w:color w:val="auto"/>
                <w:kern w:val="24"/>
                <w:sz w:val="24"/>
                <w:szCs w:val="20"/>
                <w:highlight w:val="none"/>
                <w:lang w:val="en-US" w:eastAsia="zh-CN"/>
              </w:rPr>
              <w:t>有组织产生速率为</w:t>
            </w:r>
            <w:r>
              <w:rPr>
                <w:rFonts w:ascii="Times New Roman" w:hAnsi="Times New Roman" w:cs="Times New Roman"/>
                <w:color w:val="auto"/>
                <w:kern w:val="24"/>
                <w:sz w:val="24"/>
                <w:szCs w:val="20"/>
                <w:highlight w:val="none"/>
              </w:rPr>
              <w:t>0.0511kg/h，有组织排放量为7.665kg/a</w:t>
            </w:r>
            <w:r>
              <w:rPr>
                <w:rFonts w:hint="eastAsia" w:ascii="Times New Roman" w:hAnsi="Times New Roman" w:cs="Times New Roman"/>
                <w:color w:val="auto"/>
                <w:kern w:val="24"/>
                <w:sz w:val="24"/>
                <w:szCs w:val="20"/>
                <w:highlight w:val="none"/>
                <w:lang w:eastAsia="zh-CN"/>
              </w:rPr>
              <w:t>，</w:t>
            </w:r>
            <w:r>
              <w:rPr>
                <w:rFonts w:hint="eastAsia" w:ascii="Times New Roman" w:hAnsi="Times New Roman" w:cs="Times New Roman"/>
                <w:color w:val="auto"/>
                <w:kern w:val="24"/>
                <w:sz w:val="24"/>
                <w:szCs w:val="20"/>
                <w:highlight w:val="none"/>
                <w:lang w:val="en-US" w:eastAsia="zh-CN"/>
              </w:rPr>
              <w:t>有组织排放速率为</w:t>
            </w:r>
            <w:r>
              <w:rPr>
                <w:rFonts w:ascii="Times New Roman" w:hAnsi="Times New Roman" w:cs="Times New Roman"/>
                <w:color w:val="auto"/>
                <w:kern w:val="24"/>
                <w:sz w:val="24"/>
                <w:szCs w:val="20"/>
                <w:highlight w:val="none"/>
              </w:rPr>
              <w:t>0.0128kg/h。打磨工序颗粒物无组织排放速率为0.1095kg/h，无组织排放量为65.7kg/a。</w:t>
            </w:r>
          </w:p>
          <w:p>
            <w:pPr>
              <w:spacing w:line="360" w:lineRule="auto"/>
              <w:ind w:firstLine="480" w:firstLineChars="200"/>
              <w:rPr>
                <w:rFonts w:hint="eastAsia"/>
                <w:color w:val="auto"/>
                <w:highlight w:val="none"/>
                <w:lang w:val="en-US" w:eastAsia="zh-CN"/>
              </w:rPr>
            </w:pPr>
            <w:r>
              <w:rPr>
                <w:rFonts w:hint="eastAsia" w:ascii="Times New Roman" w:hAnsi="Times New Roman" w:cs="Times New Roman"/>
                <w:color w:val="auto"/>
                <w:kern w:val="0"/>
                <w:sz w:val="24"/>
                <w:highlight w:val="none"/>
                <w:lang w:val="en-US" w:eastAsia="zh-CN"/>
              </w:rPr>
              <w:t>综上，本项目排气筒P</w:t>
            </w:r>
            <w:r>
              <w:rPr>
                <w:rFonts w:hint="eastAsia" w:cs="Times New Roman"/>
                <w:color w:val="auto"/>
                <w:kern w:val="0"/>
                <w:sz w:val="24"/>
                <w:highlight w:val="none"/>
                <w:lang w:val="en-US" w:eastAsia="zh-CN"/>
              </w:rPr>
              <w:t>2</w:t>
            </w:r>
            <w:r>
              <w:rPr>
                <w:rFonts w:hint="eastAsia" w:ascii="Times New Roman" w:hAnsi="Times New Roman" w:cs="Times New Roman"/>
                <w:color w:val="auto"/>
                <w:kern w:val="0"/>
                <w:sz w:val="24"/>
                <w:highlight w:val="none"/>
                <w:lang w:val="en-US" w:eastAsia="zh-CN"/>
              </w:rPr>
              <w:t>颗粒物有组织产生量为</w:t>
            </w:r>
            <w:r>
              <w:rPr>
                <w:rFonts w:hint="eastAsia" w:cs="Times New Roman"/>
                <w:color w:val="auto"/>
                <w:kern w:val="0"/>
                <w:sz w:val="24"/>
                <w:highlight w:val="none"/>
                <w:lang w:val="en-US" w:eastAsia="zh-CN"/>
              </w:rPr>
              <w:t>229.523</w:t>
            </w:r>
            <w:r>
              <w:rPr>
                <w:rFonts w:hint="eastAsia" w:ascii="Times New Roman" w:hAnsi="Times New Roman" w:cs="Times New Roman"/>
                <w:color w:val="auto"/>
                <w:kern w:val="0"/>
                <w:sz w:val="24"/>
                <w:highlight w:val="none"/>
                <w:lang w:val="en-US" w:eastAsia="zh-CN"/>
              </w:rPr>
              <w:t>kg，有组织产生速率为0.0</w:t>
            </w:r>
            <w:r>
              <w:rPr>
                <w:rFonts w:hint="eastAsia" w:cs="Times New Roman"/>
                <w:color w:val="auto"/>
                <w:kern w:val="0"/>
                <w:sz w:val="24"/>
                <w:highlight w:val="none"/>
                <w:lang w:val="en-US" w:eastAsia="zh-CN"/>
              </w:rPr>
              <w:t>9338</w:t>
            </w:r>
            <w:r>
              <w:rPr>
                <w:rFonts w:ascii="Times New Roman" w:hAnsi="Times New Roman" w:cs="Times New Roman"/>
                <w:color w:val="auto"/>
                <w:sz w:val="24"/>
                <w:szCs w:val="20"/>
                <w:highlight w:val="none"/>
              </w:rPr>
              <w:t>kg/h</w:t>
            </w:r>
            <w:r>
              <w:rPr>
                <w:rFonts w:hint="eastAsia" w:ascii="Times New Roman" w:hAnsi="Times New Roman" w:cs="Times New Roman"/>
                <w:color w:val="auto"/>
                <w:kern w:val="0"/>
                <w:sz w:val="24"/>
                <w:highlight w:val="none"/>
                <w:lang w:val="en-US" w:eastAsia="zh-CN"/>
              </w:rPr>
              <w:t>，有组织排放量为</w:t>
            </w:r>
            <w:r>
              <w:rPr>
                <w:rFonts w:hint="eastAsia" w:cs="Times New Roman"/>
                <w:color w:val="auto"/>
                <w:kern w:val="0"/>
                <w:sz w:val="24"/>
                <w:highlight w:val="none"/>
                <w:lang w:val="en-US" w:eastAsia="zh-CN"/>
              </w:rPr>
              <w:t>11.47615</w:t>
            </w:r>
            <w:r>
              <w:rPr>
                <w:rFonts w:hint="eastAsia" w:ascii="Times New Roman" w:hAnsi="Times New Roman" w:cs="Times New Roman"/>
                <w:color w:val="auto"/>
                <w:kern w:val="0"/>
                <w:sz w:val="24"/>
                <w:highlight w:val="none"/>
                <w:lang w:val="en-US" w:eastAsia="zh-CN"/>
              </w:rPr>
              <w:t>kg，有组织排放速率为0.0</w:t>
            </w:r>
            <w:r>
              <w:rPr>
                <w:rFonts w:hint="eastAsia" w:cs="Times New Roman"/>
                <w:color w:val="auto"/>
                <w:kern w:val="0"/>
                <w:sz w:val="24"/>
                <w:highlight w:val="none"/>
                <w:lang w:val="en-US" w:eastAsia="zh-CN"/>
              </w:rPr>
              <w:t>14914</w:t>
            </w:r>
            <w:r>
              <w:rPr>
                <w:rFonts w:ascii="Times New Roman" w:hAnsi="Times New Roman" w:cs="Times New Roman"/>
                <w:color w:val="auto"/>
                <w:sz w:val="24"/>
                <w:szCs w:val="20"/>
                <w:highlight w:val="none"/>
              </w:rPr>
              <w:t>kg/h</w:t>
            </w:r>
            <w:r>
              <w:rPr>
                <w:rFonts w:hint="eastAsia" w:ascii="Times New Roman" w:hAnsi="Times New Roman" w:cs="Times New Roman"/>
                <w:color w:val="auto"/>
                <w:kern w:val="0"/>
                <w:sz w:val="24"/>
                <w:highlight w:val="none"/>
                <w:lang w:val="en-US" w:eastAsia="zh-CN"/>
              </w:rPr>
              <w:t>。排气筒P</w:t>
            </w:r>
            <w:r>
              <w:rPr>
                <w:rFonts w:hint="eastAsia" w:cs="Times New Roman"/>
                <w:color w:val="auto"/>
                <w:kern w:val="0"/>
                <w:sz w:val="24"/>
                <w:highlight w:val="none"/>
                <w:lang w:val="en-US" w:eastAsia="zh-CN"/>
              </w:rPr>
              <w:t>2</w:t>
            </w:r>
            <w:r>
              <w:rPr>
                <w:rFonts w:hint="eastAsia" w:ascii="Times New Roman" w:hAnsi="Times New Roman" w:cs="Times New Roman"/>
                <w:color w:val="auto"/>
                <w:kern w:val="0"/>
                <w:sz w:val="24"/>
                <w:highlight w:val="none"/>
                <w:lang w:val="en-US" w:eastAsia="zh-CN"/>
              </w:rPr>
              <w:t>配套风机风量为</w:t>
            </w:r>
            <w:r>
              <w:rPr>
                <w:rFonts w:hint="eastAsia" w:cs="Times New Roman"/>
                <w:color w:val="auto"/>
                <w:kern w:val="0"/>
                <w:sz w:val="24"/>
                <w:highlight w:val="none"/>
                <w:lang w:val="en-US" w:eastAsia="zh-CN"/>
              </w:rPr>
              <w:t>8</w:t>
            </w:r>
            <w:r>
              <w:rPr>
                <w:rFonts w:hint="eastAsia" w:ascii="Times New Roman" w:hAnsi="Times New Roman" w:cs="Times New Roman"/>
                <w:color w:val="auto"/>
                <w:kern w:val="0"/>
                <w:sz w:val="24"/>
                <w:highlight w:val="none"/>
                <w:lang w:val="en-US" w:eastAsia="zh-CN"/>
              </w:rPr>
              <w:t>000m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lang w:val="en-US" w:eastAsia="zh-CN"/>
              </w:rPr>
              <w:t>/h，则排气筒P2有组织产生浓度为</w:t>
            </w:r>
            <w:r>
              <w:rPr>
                <w:rFonts w:hint="eastAsia" w:cs="Times New Roman"/>
                <w:color w:val="auto"/>
                <w:kern w:val="0"/>
                <w:sz w:val="24"/>
                <w:highlight w:val="none"/>
                <w:lang w:val="en-US" w:eastAsia="zh-CN"/>
              </w:rPr>
              <w:t>11.7</w:t>
            </w:r>
            <w:r>
              <w:rPr>
                <w:rFonts w:hint="eastAsia" w:ascii="Times New Roman" w:hAnsi="Times New Roman" w:cs="Times New Roman"/>
                <w:color w:val="auto"/>
                <w:kern w:val="0"/>
                <w:sz w:val="24"/>
                <w:highlight w:val="none"/>
                <w:lang w:val="en-US" w:eastAsia="zh-CN"/>
              </w:rPr>
              <w:t>mg/m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lang w:val="en-US" w:eastAsia="zh-CN"/>
              </w:rPr>
              <w:t>，有组织排放浓度为</w:t>
            </w:r>
            <w:r>
              <w:rPr>
                <w:rFonts w:hint="eastAsia" w:cs="Times New Roman"/>
                <w:color w:val="auto"/>
                <w:kern w:val="0"/>
                <w:sz w:val="24"/>
                <w:highlight w:val="none"/>
                <w:lang w:val="en-US" w:eastAsia="zh-CN"/>
              </w:rPr>
              <w:t>1.9</w:t>
            </w:r>
            <w:r>
              <w:rPr>
                <w:rFonts w:hint="eastAsia" w:ascii="Times New Roman" w:hAnsi="Times New Roman" w:cs="Times New Roman"/>
                <w:color w:val="auto"/>
                <w:kern w:val="0"/>
                <w:sz w:val="24"/>
                <w:highlight w:val="none"/>
                <w:lang w:val="en-US" w:eastAsia="zh-CN"/>
              </w:rPr>
              <w:t>mg/m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vertAlign w:val="baseline"/>
                <w:lang w:val="en-US" w:eastAsia="zh-CN"/>
              </w:rPr>
              <w:t>。</w:t>
            </w:r>
            <w:r>
              <w:rPr>
                <w:rFonts w:hint="eastAsia" w:cs="Times New Roman"/>
                <w:color w:val="auto"/>
                <w:kern w:val="0"/>
                <w:sz w:val="24"/>
                <w:highlight w:val="none"/>
                <w:vertAlign w:val="baseline"/>
                <w:lang w:val="en-US" w:eastAsia="zh-CN"/>
              </w:rPr>
              <w:t>颗粒物无组织排放速率为0.12762kg/h。</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（3）排气筒P3排放</w:t>
            </w:r>
            <w:r>
              <w:rPr>
                <w:rFonts w:hint="default" w:ascii="Times New Roman" w:hAnsi="Times New Roman" w:eastAsia="宋体" w:cs="Times New Roman"/>
                <w:color w:val="auto"/>
                <w:kern w:val="0"/>
                <w:sz w:val="24"/>
                <w:highlight w:val="none"/>
                <w:lang w:val="en-US" w:eastAsia="zh-CN"/>
              </w:rPr>
              <w:t>颗粒物</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本项目生产车间2内</w:t>
            </w:r>
            <w:r>
              <w:rPr>
                <w:rFonts w:hint="default" w:ascii="Times New Roman" w:hAnsi="Times New Roman" w:eastAsia="宋体" w:cs="Times New Roman"/>
                <w:color w:val="auto"/>
                <w:kern w:val="0"/>
                <w:sz w:val="24"/>
                <w:highlight w:val="none"/>
                <w:lang w:val="en-US" w:eastAsia="zh-CN"/>
              </w:rPr>
              <w:t>抛丸机产生的颗粒物经自带3#布袋除尘器+18m排气筒P3排放。本项目采用抛丸机对工件表面进行预处理，抛丸工序会产生一定的粉尘。</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根据《工业源产排污系数手册》（2010 修订）中资料，抛丸工序的粉尘产生量按照 2.1kg/t 产品计。根据建设单位提供的设计资料，</w:t>
            </w:r>
            <w:r>
              <w:rPr>
                <w:rFonts w:hint="eastAsia"/>
                <w:color w:val="auto"/>
                <w:highlight w:val="none"/>
                <w:lang w:val="en-US" w:eastAsia="zh-CN"/>
              </w:rPr>
              <w:t>车间2内抛丸机</w:t>
            </w:r>
            <w:r>
              <w:rPr>
                <w:rFonts w:hint="default" w:ascii="Times New Roman" w:hAnsi="Times New Roman" w:eastAsia="宋体" w:cs="Times New Roman"/>
                <w:color w:val="auto"/>
                <w:kern w:val="0"/>
                <w:sz w:val="24"/>
                <w:highlight w:val="none"/>
                <w:lang w:val="en-US" w:eastAsia="zh-CN"/>
              </w:rPr>
              <w:t>需要进行抛丸处理的钢结构</w:t>
            </w:r>
            <w:r>
              <w:rPr>
                <w:rFonts w:hint="eastAsia" w:ascii="Times New Roman" w:hAnsi="Times New Roman" w:eastAsia="宋体" w:cs="Times New Roman"/>
                <w:color w:val="auto"/>
                <w:kern w:val="0"/>
                <w:sz w:val="24"/>
                <w:highlight w:val="none"/>
                <w:lang w:val="en-US" w:eastAsia="zh-CN"/>
              </w:rPr>
              <w:t>、钢板</w:t>
            </w:r>
            <w:r>
              <w:rPr>
                <w:rFonts w:hint="default" w:ascii="Times New Roman" w:hAnsi="Times New Roman" w:eastAsia="宋体" w:cs="Times New Roman"/>
                <w:color w:val="auto"/>
                <w:kern w:val="0"/>
                <w:sz w:val="24"/>
                <w:highlight w:val="none"/>
                <w:lang w:val="en-US" w:eastAsia="zh-CN"/>
              </w:rPr>
              <w:t>重量约为</w:t>
            </w:r>
            <w:r>
              <w:rPr>
                <w:rFonts w:hint="eastAsia" w:ascii="Times New Roman" w:hAnsi="Times New Roman" w:eastAsia="宋体" w:cs="Times New Roman"/>
                <w:color w:val="auto"/>
                <w:kern w:val="0"/>
                <w:sz w:val="24"/>
                <w:highlight w:val="none"/>
                <w:lang w:val="en-US" w:eastAsia="zh-CN"/>
              </w:rPr>
              <w:t>2500</w:t>
            </w:r>
            <w:r>
              <w:rPr>
                <w:rFonts w:hint="default" w:ascii="Times New Roman" w:hAnsi="Times New Roman" w:eastAsia="宋体" w:cs="Times New Roman"/>
                <w:color w:val="auto"/>
                <w:kern w:val="0"/>
                <w:sz w:val="24"/>
                <w:highlight w:val="none"/>
                <w:lang w:val="en-US" w:eastAsia="zh-CN"/>
              </w:rPr>
              <w:t>t/a，该工序年工作</w:t>
            </w:r>
            <w:r>
              <w:rPr>
                <w:rFonts w:hint="eastAsia" w:ascii="Times New Roman" w:hAnsi="Times New Roman" w:eastAsia="宋体" w:cs="Times New Roman"/>
                <w:color w:val="auto"/>
                <w:kern w:val="0"/>
                <w:sz w:val="24"/>
                <w:highlight w:val="none"/>
                <w:lang w:val="en-US" w:eastAsia="zh-CN"/>
              </w:rPr>
              <w:t>18</w:t>
            </w:r>
            <w:r>
              <w:rPr>
                <w:rFonts w:hint="default" w:ascii="Times New Roman" w:hAnsi="Times New Roman" w:eastAsia="宋体" w:cs="Times New Roman"/>
                <w:color w:val="auto"/>
                <w:kern w:val="0"/>
                <w:sz w:val="24"/>
                <w:highlight w:val="none"/>
                <w:lang w:val="en-US" w:eastAsia="zh-CN"/>
              </w:rPr>
              <w:t>00h，抛丸工序颗粒物产生量为</w:t>
            </w:r>
            <w:r>
              <w:rPr>
                <w:rFonts w:hint="eastAsia" w:ascii="Times New Roman" w:hAnsi="Times New Roman" w:eastAsia="宋体" w:cs="Times New Roman"/>
                <w:color w:val="auto"/>
                <w:kern w:val="0"/>
                <w:sz w:val="24"/>
                <w:highlight w:val="none"/>
                <w:lang w:val="en-US" w:eastAsia="zh-CN"/>
              </w:rPr>
              <w:t>5.25</w:t>
            </w:r>
            <w:r>
              <w:rPr>
                <w:rFonts w:hint="default" w:ascii="Times New Roman" w:hAnsi="Times New Roman" w:eastAsia="宋体" w:cs="Times New Roman"/>
                <w:color w:val="auto"/>
                <w:kern w:val="0"/>
                <w:sz w:val="24"/>
                <w:highlight w:val="none"/>
                <w:lang w:val="en-US" w:eastAsia="zh-CN"/>
              </w:rPr>
              <w:t>t/a</w:t>
            </w:r>
            <w:r>
              <w:rPr>
                <w:rFonts w:hint="eastAsia" w:ascii="Times New Roman" w:hAnsi="Times New Roman" w:eastAsia="宋体" w:cs="Times New Roman"/>
                <w:color w:val="auto"/>
                <w:kern w:val="0"/>
                <w:sz w:val="24"/>
                <w:highlight w:val="none"/>
                <w:lang w:val="en-US" w:eastAsia="zh-CN"/>
              </w:rPr>
              <w:t>，颗粒物产生速率为2.92</w:t>
            </w:r>
            <w:r>
              <w:rPr>
                <w:rFonts w:hint="default" w:ascii="Times New Roman" w:hAnsi="Times New Roman" w:eastAsia="宋体" w:cs="Times New Roman"/>
                <w:color w:val="auto"/>
                <w:kern w:val="0"/>
                <w:sz w:val="24"/>
                <w:highlight w:val="none"/>
                <w:lang w:val="en-US" w:eastAsia="zh-CN"/>
              </w:rPr>
              <w:t>kg/h。抛丸过程产生的粉尘经抛丸机内部收集系统进行收集，并在进出口安装密封性良好的软帘防止粉尘溢出，软帘下垂至抛丸机下方，能够将抛丸机进出口完全遮挡，实际运行过程中仍有极少部分颗粒物通过软帘缝隙排出，上述收集方式收集效率较高，本项目按照97%计，收集后的颗粒物最终经</w:t>
            </w:r>
            <w:r>
              <w:rPr>
                <w:rFonts w:hint="eastAsia" w:ascii="Times New Roman" w:hAnsi="Times New Roman" w:eastAsia="宋体" w:cs="Times New Roman"/>
                <w:color w:val="auto"/>
                <w:kern w:val="0"/>
                <w:sz w:val="24"/>
                <w:highlight w:val="none"/>
                <w:lang w:val="en-US" w:eastAsia="zh-CN"/>
              </w:rPr>
              <w:t>布袋</w:t>
            </w:r>
            <w:r>
              <w:rPr>
                <w:rFonts w:hint="default" w:ascii="Times New Roman" w:hAnsi="Times New Roman" w:eastAsia="宋体" w:cs="Times New Roman"/>
                <w:color w:val="auto"/>
                <w:kern w:val="0"/>
                <w:sz w:val="24"/>
                <w:highlight w:val="none"/>
                <w:lang w:val="en-US" w:eastAsia="zh-CN"/>
              </w:rPr>
              <w:t>除尘器处理，处理效率按95%计</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则抛丸工序排气筒P</w:t>
            </w:r>
            <w:r>
              <w:rPr>
                <w:rFonts w:hint="eastAsia"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lang w:val="en-US" w:eastAsia="zh-CN"/>
              </w:rPr>
              <w:t>有组织颗粒物产生量为</w:t>
            </w:r>
            <w:r>
              <w:rPr>
                <w:rFonts w:hint="eastAsia" w:ascii="Times New Roman" w:hAnsi="Times New Roman" w:eastAsia="宋体" w:cs="Times New Roman"/>
                <w:color w:val="auto"/>
                <w:kern w:val="0"/>
                <w:sz w:val="24"/>
                <w:highlight w:val="none"/>
                <w:lang w:val="en-US" w:eastAsia="zh-CN"/>
              </w:rPr>
              <w:t>5.0925</w:t>
            </w:r>
            <w:r>
              <w:rPr>
                <w:rFonts w:hint="default" w:ascii="Times New Roman" w:hAnsi="Times New Roman" w:eastAsia="宋体" w:cs="Times New Roman"/>
                <w:color w:val="auto"/>
                <w:kern w:val="0"/>
                <w:sz w:val="24"/>
                <w:highlight w:val="none"/>
                <w:lang w:val="en-US" w:eastAsia="zh-CN"/>
              </w:rPr>
              <w:t>t/a</w:t>
            </w:r>
            <w:r>
              <w:rPr>
                <w:rFonts w:hint="eastAsia" w:ascii="Times New Roman" w:hAnsi="Times New Roman" w:eastAsia="宋体" w:cs="Times New Roman"/>
                <w:color w:val="auto"/>
                <w:kern w:val="0"/>
                <w:sz w:val="24"/>
                <w:highlight w:val="none"/>
                <w:lang w:val="en-US" w:eastAsia="zh-CN"/>
              </w:rPr>
              <w:t>，颗粒物有组织产生速率为2.8324</w:t>
            </w:r>
            <w:r>
              <w:rPr>
                <w:rFonts w:hint="default" w:ascii="Times New Roman" w:hAnsi="Times New Roman" w:eastAsia="宋体" w:cs="Times New Roman"/>
                <w:color w:val="auto"/>
                <w:kern w:val="0"/>
                <w:sz w:val="24"/>
                <w:highlight w:val="none"/>
                <w:lang w:val="en-US" w:eastAsia="zh-CN"/>
              </w:rPr>
              <w:t>kg/h</w:t>
            </w:r>
            <w:r>
              <w:rPr>
                <w:rFonts w:hint="eastAsia" w:ascii="Times New Roman" w:hAnsi="Times New Roman" w:eastAsia="宋体" w:cs="Times New Roman"/>
                <w:color w:val="auto"/>
                <w:kern w:val="0"/>
                <w:sz w:val="24"/>
                <w:highlight w:val="none"/>
                <w:lang w:val="en-US" w:eastAsia="zh-CN"/>
              </w:rPr>
              <w:t>，有组织排</w:t>
            </w:r>
            <w:r>
              <w:rPr>
                <w:rFonts w:hint="default" w:ascii="Times New Roman" w:hAnsi="Times New Roman" w:eastAsia="宋体" w:cs="Times New Roman"/>
                <w:color w:val="auto"/>
                <w:kern w:val="0"/>
                <w:sz w:val="24"/>
                <w:highlight w:val="none"/>
                <w:lang w:val="en-US" w:eastAsia="zh-CN"/>
              </w:rPr>
              <w:t>放量为</w:t>
            </w:r>
            <w:r>
              <w:rPr>
                <w:rFonts w:hint="eastAsia" w:ascii="Times New Roman" w:hAnsi="Times New Roman" w:eastAsia="宋体" w:cs="Times New Roman"/>
                <w:color w:val="auto"/>
                <w:kern w:val="0"/>
                <w:sz w:val="24"/>
                <w:highlight w:val="none"/>
                <w:lang w:val="en-US" w:eastAsia="zh-CN"/>
              </w:rPr>
              <w:t>0.254625</w:t>
            </w:r>
            <w:r>
              <w:rPr>
                <w:rFonts w:hint="default" w:ascii="Times New Roman" w:hAnsi="Times New Roman" w:eastAsia="宋体" w:cs="Times New Roman"/>
                <w:color w:val="auto"/>
                <w:kern w:val="0"/>
                <w:sz w:val="24"/>
                <w:highlight w:val="none"/>
                <w:lang w:val="en-US" w:eastAsia="zh-CN"/>
              </w:rPr>
              <w:t>/a</w:t>
            </w:r>
            <w:r>
              <w:rPr>
                <w:rFonts w:hint="eastAsia" w:ascii="Times New Roman" w:hAnsi="Times New Roman" w:eastAsia="宋体" w:cs="Times New Roman"/>
                <w:color w:val="auto"/>
                <w:kern w:val="0"/>
                <w:sz w:val="24"/>
                <w:highlight w:val="none"/>
                <w:lang w:val="en-US" w:eastAsia="zh-CN"/>
              </w:rPr>
              <w:t>，颗粒物有组织排放速率为</w:t>
            </w:r>
            <w:r>
              <w:rPr>
                <w:rFonts w:hint="default" w:ascii="Times New Roman" w:hAnsi="Times New Roman" w:eastAsia="宋体" w:cs="Times New Roman"/>
                <w:color w:val="auto"/>
                <w:kern w:val="0"/>
                <w:sz w:val="24"/>
                <w:highlight w:val="none"/>
                <w:lang w:val="en-US" w:eastAsia="zh-CN"/>
              </w:rPr>
              <w:t>0.</w:t>
            </w:r>
            <w:r>
              <w:rPr>
                <w:rFonts w:hint="eastAsia" w:ascii="Times New Roman" w:hAnsi="Times New Roman" w:eastAsia="宋体" w:cs="Times New Roman"/>
                <w:color w:val="auto"/>
                <w:kern w:val="0"/>
                <w:sz w:val="24"/>
                <w:highlight w:val="none"/>
                <w:lang w:val="en-US" w:eastAsia="zh-CN"/>
              </w:rPr>
              <w:t>14162</w:t>
            </w:r>
            <w:r>
              <w:rPr>
                <w:rFonts w:hint="default" w:ascii="Times New Roman" w:hAnsi="Times New Roman" w:eastAsia="宋体" w:cs="Times New Roman"/>
                <w:color w:val="auto"/>
                <w:kern w:val="0"/>
                <w:sz w:val="24"/>
                <w:highlight w:val="none"/>
                <w:lang w:val="en-US" w:eastAsia="zh-CN"/>
              </w:rPr>
              <w:t>kg/h。抛丸机除尘系统配套风机风量为</w:t>
            </w:r>
            <w:r>
              <w:rPr>
                <w:rFonts w:hint="eastAsia"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lang w:val="en-US" w:eastAsia="zh-CN"/>
              </w:rPr>
              <w:t>000m</w:t>
            </w:r>
            <w:r>
              <w:rPr>
                <w:rFonts w:hint="default" w:ascii="Times New Roman" w:hAnsi="Times New Roman" w:eastAsia="宋体"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/h</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则排气筒P3有组织产生浓度为566.48mg/m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lang w:val="en-US" w:eastAsia="zh-CN"/>
              </w:rPr>
              <w:t>，有组织排放浓度为28.3mg/m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vertAlign w:val="baseline"/>
                <w:lang w:val="en-US" w:eastAsia="zh-CN"/>
              </w:rPr>
              <w:t>。</w:t>
            </w:r>
            <w:r>
              <w:rPr>
                <w:rFonts w:hint="eastAsia" w:cs="Times New Roman"/>
                <w:color w:val="auto"/>
                <w:kern w:val="0"/>
                <w:sz w:val="24"/>
                <w:highlight w:val="none"/>
                <w:vertAlign w:val="baseline"/>
                <w:lang w:val="en-US" w:eastAsia="zh-CN"/>
              </w:rPr>
              <w:t>颗粒物无组织排放速率为0.0876kg/h。</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综上，由于生产车间1和生产车间2中间未设置隔断，整体按照一个面源考虑，颗粒物无组织排放源强为0.33438kg/h。</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（4）排气筒P4排放</w:t>
            </w:r>
            <w:r>
              <w:rPr>
                <w:rFonts w:hint="default" w:ascii="Times New Roman" w:hAnsi="Times New Roman" w:eastAsia="宋体" w:cs="Times New Roman"/>
                <w:color w:val="auto"/>
                <w:kern w:val="0"/>
                <w:sz w:val="24"/>
                <w:highlight w:val="none"/>
                <w:lang w:val="en-US" w:eastAsia="zh-CN"/>
              </w:rPr>
              <w:t>颗粒物</w:t>
            </w:r>
          </w:p>
          <w:p>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本项目生产车间3内火焰切割机、半自动火焰切割机、埋弧焊机、二保焊机、电焊机</w:t>
            </w:r>
            <w:r>
              <w:rPr>
                <w:rFonts w:hint="eastAsia" w:cs="Times New Roman"/>
                <w:color w:val="auto"/>
                <w:kern w:val="0"/>
                <w:sz w:val="24"/>
                <w:highlight w:val="none"/>
                <w:lang w:val="en-US" w:eastAsia="zh-CN"/>
              </w:rPr>
              <w:t>、</w:t>
            </w:r>
            <w:r>
              <w:rPr>
                <w:rFonts w:hint="default" w:ascii="Times New Roman" w:hAnsi="Times New Roman" w:cs="Times New Roman"/>
                <w:color w:val="auto"/>
                <w:highlight w:val="none"/>
              </w:rPr>
              <w:t>角磨机</w:t>
            </w:r>
            <w:r>
              <w:rPr>
                <w:rFonts w:hint="eastAsia" w:ascii="Times New Roman" w:hAnsi="Times New Roman" w:eastAsia="宋体" w:cs="Times New Roman"/>
                <w:color w:val="auto"/>
                <w:kern w:val="0"/>
                <w:sz w:val="24"/>
                <w:highlight w:val="none"/>
                <w:lang w:val="en-US" w:eastAsia="zh-CN"/>
              </w:rPr>
              <w:t>工作过程中会产生颗粒物，火焰切割机产生的颗粒物经切割枪头处可移动集气罩收集，埋弧焊机、二保焊机、电焊机</w:t>
            </w:r>
            <w:r>
              <w:rPr>
                <w:rFonts w:hint="eastAsia" w:cs="Times New Roman"/>
                <w:color w:val="auto"/>
                <w:kern w:val="0"/>
                <w:sz w:val="24"/>
                <w:highlight w:val="none"/>
                <w:lang w:val="en-US" w:eastAsia="zh-CN"/>
              </w:rPr>
              <w:t>、</w:t>
            </w:r>
            <w:r>
              <w:rPr>
                <w:rFonts w:hint="default" w:ascii="Times New Roman" w:hAnsi="Times New Roman" w:cs="Times New Roman"/>
                <w:color w:val="auto"/>
                <w:highlight w:val="none"/>
              </w:rPr>
              <w:t>角磨机</w:t>
            </w:r>
            <w:r>
              <w:rPr>
                <w:rFonts w:hint="eastAsia" w:ascii="Times New Roman" w:hAnsi="Times New Roman" w:eastAsia="宋体" w:cs="Times New Roman"/>
                <w:color w:val="auto"/>
                <w:kern w:val="0"/>
                <w:sz w:val="24"/>
                <w:highlight w:val="none"/>
                <w:lang w:val="en-US" w:eastAsia="zh-CN"/>
              </w:rPr>
              <w:t>产生的颗粒物经万向集气罩收集，上述颗粒物经收集后通过一套4#布袋除尘器+18m高排气筒P4有组织排放。</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①火焰切割废气</w:t>
            </w:r>
          </w:p>
          <w:p>
            <w:pPr>
              <w:spacing w:line="360" w:lineRule="auto"/>
              <w:ind w:firstLine="480" w:firstLineChars="200"/>
              <w:rPr>
                <w:rFonts w:hint="eastAsia" w:ascii="Times New Roman" w:hAnsi="Times New Roman" w:cs="Times New Roman"/>
                <w:color w:val="auto"/>
                <w:kern w:val="0"/>
                <w:sz w:val="24"/>
                <w:highlight w:val="none"/>
                <w:lang w:eastAsia="zh-CN"/>
              </w:rPr>
            </w:pPr>
            <w:r>
              <w:rPr>
                <w:rFonts w:ascii="Times New Roman" w:hAnsi="Times New Roman" w:cs="Times New Roman"/>
                <w:color w:val="auto"/>
                <w:kern w:val="0"/>
                <w:sz w:val="24"/>
                <w:highlight w:val="none"/>
              </w:rPr>
              <w:t>根据《大气环境影响评价实用技术》中对切割发尘量的介绍可知，切割时发尘的速率为40-80mg/min，本项目取最大值80mg/min，年切割时间约为</w:t>
            </w:r>
            <w:r>
              <w:rPr>
                <w:rFonts w:hint="eastAsia" w:ascii="Times New Roman" w:hAnsi="Times New Roman" w:cs="Times New Roman"/>
                <w:color w:val="auto"/>
                <w:kern w:val="0"/>
                <w:sz w:val="24"/>
                <w:highlight w:val="none"/>
                <w:lang w:val="en-US" w:eastAsia="zh-CN"/>
              </w:rPr>
              <w:t>18</w:t>
            </w:r>
            <w:r>
              <w:rPr>
                <w:rFonts w:ascii="Times New Roman" w:hAnsi="Times New Roman" w:cs="Times New Roman"/>
                <w:color w:val="auto"/>
                <w:kern w:val="0"/>
                <w:sz w:val="24"/>
                <w:highlight w:val="none"/>
              </w:rPr>
              <w:t>00h，</w:t>
            </w:r>
            <w:r>
              <w:rPr>
                <w:rFonts w:hint="eastAsia" w:ascii="Times New Roman" w:hAnsi="Times New Roman" w:cs="Times New Roman"/>
                <w:color w:val="auto"/>
                <w:kern w:val="0"/>
                <w:sz w:val="24"/>
                <w:highlight w:val="none"/>
                <w:lang w:val="en-US" w:eastAsia="zh-CN"/>
              </w:rPr>
              <w:t>每台切割机</w:t>
            </w:r>
            <w:r>
              <w:rPr>
                <w:rFonts w:ascii="Times New Roman" w:hAnsi="Times New Roman" w:cs="Times New Roman"/>
                <w:color w:val="auto"/>
                <w:kern w:val="0"/>
                <w:sz w:val="24"/>
                <w:highlight w:val="none"/>
              </w:rPr>
              <w:t>平均每次2个枪头同时切割，故</w:t>
            </w:r>
            <w:r>
              <w:rPr>
                <w:rFonts w:hint="eastAsia" w:ascii="Times New Roman" w:hAnsi="Times New Roman" w:cs="Times New Roman"/>
                <w:color w:val="auto"/>
                <w:kern w:val="0"/>
                <w:sz w:val="24"/>
                <w:highlight w:val="none"/>
                <w:lang w:val="en-US" w:eastAsia="zh-CN"/>
              </w:rPr>
              <w:t>3</w:t>
            </w:r>
            <w:r>
              <w:rPr>
                <w:rFonts w:ascii="Times New Roman" w:hAnsi="Times New Roman" w:cs="Times New Roman"/>
                <w:color w:val="auto"/>
                <w:kern w:val="0"/>
                <w:sz w:val="24"/>
                <w:highlight w:val="none"/>
              </w:rPr>
              <w:t>台切割机粉尘年产生量为</w:t>
            </w:r>
            <w:r>
              <w:rPr>
                <w:rFonts w:hint="eastAsia" w:ascii="Times New Roman" w:hAnsi="Times New Roman" w:cs="Times New Roman"/>
                <w:color w:val="auto"/>
                <w:kern w:val="0"/>
                <w:sz w:val="24"/>
                <w:highlight w:val="none"/>
                <w:lang w:val="en-US" w:eastAsia="zh-CN"/>
              </w:rPr>
              <w:t>51.84</w:t>
            </w:r>
            <w:r>
              <w:rPr>
                <w:rFonts w:ascii="Times New Roman" w:hAnsi="Times New Roman" w:cs="Times New Roman"/>
                <w:color w:val="auto"/>
                <w:kern w:val="0"/>
                <w:sz w:val="24"/>
                <w:highlight w:val="none"/>
              </w:rPr>
              <w:t>kg/a，则颗粒物产生</w:t>
            </w:r>
            <w:r>
              <w:rPr>
                <w:rFonts w:hint="eastAsia" w:ascii="Times New Roman" w:hAnsi="Times New Roman" w:cs="Times New Roman"/>
                <w:color w:val="auto"/>
                <w:kern w:val="0"/>
                <w:sz w:val="24"/>
                <w:highlight w:val="none"/>
                <w:lang w:val="en-US" w:eastAsia="zh-CN"/>
              </w:rPr>
              <w:t>速率</w:t>
            </w:r>
            <w:r>
              <w:rPr>
                <w:rFonts w:ascii="Times New Roman" w:hAnsi="Times New Roman" w:cs="Times New Roman"/>
                <w:color w:val="auto"/>
                <w:kern w:val="0"/>
                <w:sz w:val="24"/>
                <w:highlight w:val="none"/>
              </w:rPr>
              <w:t>为</w:t>
            </w:r>
            <w:r>
              <w:rPr>
                <w:rFonts w:ascii="Times New Roman" w:hAnsi="Times New Roman" w:cs="Times New Roman"/>
                <w:color w:val="auto"/>
                <w:kern w:val="24"/>
                <w:sz w:val="24"/>
                <w:szCs w:val="20"/>
                <w:highlight w:val="none"/>
              </w:rPr>
              <w:t>0.0</w:t>
            </w:r>
            <w:r>
              <w:rPr>
                <w:rFonts w:hint="eastAsia" w:ascii="Times New Roman" w:hAnsi="Times New Roman" w:cs="Times New Roman"/>
                <w:color w:val="auto"/>
                <w:kern w:val="24"/>
                <w:sz w:val="24"/>
                <w:szCs w:val="20"/>
                <w:highlight w:val="none"/>
                <w:lang w:val="en-US" w:eastAsia="zh-CN"/>
              </w:rPr>
              <w:t>288</w:t>
            </w:r>
            <w:r>
              <w:rPr>
                <w:rFonts w:ascii="Times New Roman" w:hAnsi="Times New Roman" w:cs="Times New Roman"/>
                <w:color w:val="auto"/>
                <w:kern w:val="24"/>
                <w:sz w:val="24"/>
                <w:szCs w:val="20"/>
                <w:highlight w:val="none"/>
              </w:rPr>
              <w:t>kg/h</w:t>
            </w:r>
            <w:r>
              <w:rPr>
                <w:rFonts w:ascii="Times New Roman" w:hAnsi="Times New Roman" w:cs="Times New Roman"/>
                <w:color w:val="auto"/>
                <w:sz w:val="24"/>
                <w:highlight w:val="none"/>
              </w:rPr>
              <w:t>，</w:t>
            </w:r>
            <w:r>
              <w:rPr>
                <w:rFonts w:ascii="Times New Roman" w:hAnsi="Times New Roman" w:cs="Times New Roman"/>
                <w:color w:val="auto"/>
                <w:kern w:val="24"/>
                <w:sz w:val="24"/>
                <w:szCs w:val="20"/>
                <w:highlight w:val="none"/>
              </w:rPr>
              <w:t>收集效率按70</w:t>
            </w:r>
            <w:r>
              <w:rPr>
                <w:rFonts w:ascii="Times New Roman" w:hAnsi="Times New Roman" w:cs="Times New Roman"/>
                <w:color w:val="auto"/>
                <w:kern w:val="0"/>
                <w:sz w:val="24"/>
                <w:highlight w:val="none"/>
              </w:rPr>
              <w:t>%计，</w:t>
            </w:r>
            <w:r>
              <w:rPr>
                <w:rFonts w:hint="eastAsia" w:ascii="Times New Roman" w:hAnsi="Times New Roman" w:cs="Times New Roman"/>
                <w:color w:val="auto"/>
                <w:kern w:val="0"/>
                <w:sz w:val="24"/>
                <w:highlight w:val="none"/>
                <w:lang w:val="en-US" w:eastAsia="zh-CN"/>
              </w:rPr>
              <w:t>布袋</w:t>
            </w:r>
            <w:r>
              <w:rPr>
                <w:rFonts w:ascii="Times New Roman" w:hAnsi="Times New Roman" w:cs="Times New Roman"/>
                <w:color w:val="auto"/>
                <w:kern w:val="0"/>
                <w:sz w:val="24"/>
                <w:highlight w:val="none"/>
              </w:rPr>
              <w:t>除尘器除尘效率约为95%</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通过排气筒P</w:t>
            </w:r>
            <w:r>
              <w:rPr>
                <w:rFonts w:hint="eastAsia" w:cs="Times New Roman"/>
                <w:color w:val="auto"/>
                <w:kern w:val="0"/>
                <w:sz w:val="24"/>
                <w:highlight w:val="none"/>
                <w:lang w:val="en-US" w:eastAsia="zh-CN"/>
              </w:rPr>
              <w:t>4</w:t>
            </w:r>
            <w:r>
              <w:rPr>
                <w:rFonts w:hint="eastAsia" w:ascii="Times New Roman" w:hAnsi="Times New Roman" w:cs="Times New Roman"/>
                <w:color w:val="auto"/>
                <w:kern w:val="0"/>
                <w:sz w:val="24"/>
                <w:highlight w:val="none"/>
                <w:lang w:val="en-US" w:eastAsia="zh-CN"/>
              </w:rPr>
              <w:t>有组织产生量为36.288kg，有组织产生速率为0.02016kg/h</w:t>
            </w:r>
            <w:r>
              <w:rPr>
                <w:rFonts w:hint="eastAsia" w:ascii="Times New Roman" w:hAnsi="Times New Roman" w:cs="Times New Roman"/>
                <w:color w:val="auto"/>
                <w:kern w:val="0"/>
                <w:sz w:val="24"/>
                <w:highlight w:val="none"/>
                <w:lang w:eastAsia="zh-CN"/>
              </w:rPr>
              <w:t>。</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cs="Times New Roman"/>
                <w:color w:val="auto"/>
                <w:kern w:val="0"/>
                <w:sz w:val="24"/>
                <w:highlight w:val="none"/>
                <w:lang w:val="en-US" w:eastAsia="zh-CN"/>
              </w:rPr>
              <w:t>②二保焊接废气</w:t>
            </w:r>
          </w:p>
          <w:p>
            <w:pPr>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kern w:val="0"/>
                <w:sz w:val="24"/>
                <w:highlight w:val="none"/>
              </w:rPr>
              <w:t>根据建设方提供的资料，本项目建设后</w:t>
            </w:r>
            <w:r>
              <w:rPr>
                <w:rFonts w:hint="eastAsia" w:ascii="Times New Roman" w:hAnsi="Times New Roman" w:cs="Times New Roman"/>
                <w:color w:val="auto"/>
                <w:kern w:val="0"/>
                <w:sz w:val="24"/>
                <w:highlight w:val="none"/>
                <w:lang w:val="en-US" w:eastAsia="zh-CN"/>
              </w:rPr>
              <w:t>生产</w:t>
            </w:r>
            <w:r>
              <w:rPr>
                <w:rFonts w:ascii="Times New Roman" w:hAnsi="Times New Roman" w:cs="Times New Roman"/>
                <w:color w:val="auto"/>
                <w:kern w:val="0"/>
                <w:sz w:val="24"/>
                <w:highlight w:val="none"/>
              </w:rPr>
              <w:t>车间</w:t>
            </w:r>
            <w:r>
              <w:rPr>
                <w:rFonts w:hint="eastAsia" w:cs="Times New Roman"/>
                <w:color w:val="auto"/>
                <w:kern w:val="0"/>
                <w:sz w:val="24"/>
                <w:highlight w:val="none"/>
                <w:lang w:val="en-US" w:eastAsia="zh-CN"/>
              </w:rPr>
              <w:t>3</w:t>
            </w:r>
            <w:r>
              <w:rPr>
                <w:rFonts w:ascii="Times New Roman" w:hAnsi="Times New Roman" w:cs="Times New Roman"/>
                <w:color w:val="auto"/>
                <w:kern w:val="0"/>
                <w:sz w:val="24"/>
                <w:highlight w:val="none"/>
              </w:rPr>
              <w:t>二保焊焊丝年用量为</w:t>
            </w:r>
            <w:r>
              <w:rPr>
                <w:rFonts w:hint="eastAsia" w:ascii="Times New Roman" w:hAnsi="Times New Roman" w:cs="Times New Roman"/>
                <w:color w:val="auto"/>
                <w:kern w:val="0"/>
                <w:sz w:val="24"/>
                <w:highlight w:val="none"/>
                <w:lang w:val="en-US" w:eastAsia="zh-CN"/>
              </w:rPr>
              <w:t>4</w:t>
            </w:r>
            <w:r>
              <w:rPr>
                <w:rFonts w:ascii="Times New Roman" w:hAnsi="Times New Roman" w:cs="Times New Roman"/>
                <w:color w:val="auto"/>
                <w:kern w:val="0"/>
                <w:sz w:val="24"/>
                <w:highlight w:val="none"/>
              </w:rPr>
              <w:t>t/a，二保焊采用实芯焊丝，根据《不同焊接工艺的焊接烟尘污染特征》中焊接最大发尘量计算，二保焊焊接烟尘产生量为5～8g/kg（实芯焊丝），为安全起见，本报告二保焊发尘量按8g/（kg 实芯焊丝）计，二保焊焊接时间为</w:t>
            </w:r>
            <w:r>
              <w:rPr>
                <w:rFonts w:hint="eastAsia" w:ascii="Times New Roman" w:hAnsi="Times New Roman" w:cs="Times New Roman"/>
                <w:color w:val="auto"/>
                <w:kern w:val="0"/>
                <w:sz w:val="24"/>
                <w:highlight w:val="none"/>
                <w:lang w:val="en-US" w:eastAsia="zh-CN"/>
              </w:rPr>
              <w:t>18</w:t>
            </w:r>
            <w:r>
              <w:rPr>
                <w:rFonts w:ascii="Times New Roman" w:hAnsi="Times New Roman" w:cs="Times New Roman"/>
                <w:color w:val="auto"/>
                <w:kern w:val="0"/>
                <w:sz w:val="24"/>
                <w:highlight w:val="none"/>
              </w:rPr>
              <w:t>00h/a。本项目二保焊焊接烟尘产生量为</w:t>
            </w:r>
            <w:r>
              <w:rPr>
                <w:rFonts w:hint="eastAsia" w:ascii="Times New Roman" w:hAnsi="Times New Roman" w:cs="Times New Roman"/>
                <w:color w:val="auto"/>
                <w:kern w:val="0"/>
                <w:sz w:val="24"/>
                <w:highlight w:val="none"/>
                <w:lang w:val="en-US" w:eastAsia="zh-CN"/>
              </w:rPr>
              <w:t>32</w:t>
            </w:r>
            <w:r>
              <w:rPr>
                <w:rFonts w:ascii="Times New Roman" w:hAnsi="Times New Roman" w:cs="Times New Roman"/>
                <w:color w:val="auto"/>
                <w:kern w:val="0"/>
                <w:sz w:val="24"/>
                <w:highlight w:val="none"/>
              </w:rPr>
              <w:t>kg/a</w:t>
            </w:r>
            <w:r>
              <w:rPr>
                <w:rFonts w:hint="eastAsia" w:ascii="Times New Roman" w:hAnsi="Times New Roman" w:cs="Times New Roman"/>
                <w:color w:val="auto"/>
                <w:kern w:val="0"/>
                <w:sz w:val="24"/>
                <w:highlight w:val="none"/>
                <w:lang w:eastAsia="zh-CN"/>
              </w:rPr>
              <w:t>，</w:t>
            </w:r>
            <w:r>
              <w:rPr>
                <w:rFonts w:ascii="Times New Roman" w:hAnsi="Times New Roman" w:cs="Times New Roman"/>
                <w:color w:val="auto"/>
                <w:kern w:val="0"/>
                <w:sz w:val="24"/>
                <w:highlight w:val="none"/>
              </w:rPr>
              <w:t>则颗粒物产生</w:t>
            </w:r>
            <w:r>
              <w:rPr>
                <w:rFonts w:hint="eastAsia" w:ascii="Times New Roman" w:hAnsi="Times New Roman" w:cs="Times New Roman"/>
                <w:color w:val="auto"/>
                <w:kern w:val="0"/>
                <w:sz w:val="24"/>
                <w:highlight w:val="none"/>
                <w:lang w:val="en-US" w:eastAsia="zh-CN"/>
              </w:rPr>
              <w:t>速率</w:t>
            </w:r>
            <w:r>
              <w:rPr>
                <w:rFonts w:ascii="Times New Roman" w:hAnsi="Times New Roman" w:cs="Times New Roman"/>
                <w:color w:val="auto"/>
                <w:kern w:val="0"/>
                <w:sz w:val="24"/>
                <w:highlight w:val="none"/>
              </w:rPr>
              <w:t>为0.</w:t>
            </w:r>
            <w:r>
              <w:rPr>
                <w:rFonts w:hint="eastAsia" w:ascii="Times New Roman" w:hAnsi="Times New Roman" w:cs="Times New Roman"/>
                <w:color w:val="auto"/>
                <w:kern w:val="0"/>
                <w:sz w:val="24"/>
                <w:highlight w:val="none"/>
                <w:lang w:val="en-US" w:eastAsia="zh-CN"/>
              </w:rPr>
              <w:t>018</w:t>
            </w:r>
            <w:r>
              <w:rPr>
                <w:rFonts w:ascii="Times New Roman" w:hAnsi="Times New Roman" w:cs="Times New Roman"/>
                <w:color w:val="auto"/>
                <w:kern w:val="0"/>
                <w:sz w:val="24"/>
                <w:highlight w:val="none"/>
              </w:rPr>
              <w:t>kg/h，</w:t>
            </w:r>
            <w:r>
              <w:rPr>
                <w:rFonts w:ascii="Times New Roman" w:hAnsi="Times New Roman" w:cs="Times New Roman"/>
                <w:color w:val="auto"/>
                <w:kern w:val="24"/>
                <w:sz w:val="24"/>
                <w:szCs w:val="20"/>
                <w:highlight w:val="none"/>
              </w:rPr>
              <w:t>收集效率按70</w:t>
            </w:r>
            <w:r>
              <w:rPr>
                <w:rFonts w:ascii="Times New Roman" w:hAnsi="Times New Roman" w:cs="Times New Roman"/>
                <w:color w:val="auto"/>
                <w:kern w:val="0"/>
                <w:sz w:val="24"/>
                <w:highlight w:val="none"/>
              </w:rPr>
              <w:t>%计，</w:t>
            </w:r>
            <w:r>
              <w:rPr>
                <w:rFonts w:hint="eastAsia" w:ascii="Times New Roman" w:hAnsi="Times New Roman" w:cs="Times New Roman"/>
                <w:color w:val="auto"/>
                <w:kern w:val="0"/>
                <w:sz w:val="24"/>
                <w:highlight w:val="none"/>
                <w:lang w:val="en-US" w:eastAsia="zh-CN"/>
              </w:rPr>
              <w:t>布袋</w:t>
            </w:r>
            <w:r>
              <w:rPr>
                <w:rFonts w:ascii="Times New Roman" w:hAnsi="Times New Roman" w:cs="Times New Roman"/>
                <w:color w:val="auto"/>
                <w:kern w:val="0"/>
                <w:sz w:val="24"/>
                <w:highlight w:val="none"/>
              </w:rPr>
              <w:t>除尘器除尘效率约为95%</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通过排气筒P</w:t>
            </w:r>
            <w:r>
              <w:rPr>
                <w:rFonts w:hint="eastAsia" w:cs="Times New Roman"/>
                <w:color w:val="auto"/>
                <w:kern w:val="0"/>
                <w:sz w:val="24"/>
                <w:highlight w:val="none"/>
                <w:lang w:val="en-US" w:eastAsia="zh-CN"/>
              </w:rPr>
              <w:t>4</w:t>
            </w:r>
            <w:r>
              <w:rPr>
                <w:rFonts w:hint="eastAsia" w:ascii="Times New Roman" w:hAnsi="Times New Roman" w:cs="Times New Roman"/>
                <w:color w:val="auto"/>
                <w:kern w:val="0"/>
                <w:sz w:val="24"/>
                <w:highlight w:val="none"/>
                <w:lang w:val="en-US" w:eastAsia="zh-CN"/>
              </w:rPr>
              <w:t>有组织产生量为22.4kg，有组织产生速率为0.0126kg/h</w:t>
            </w:r>
            <w:r>
              <w:rPr>
                <w:rFonts w:hint="eastAsia" w:ascii="Times New Roman" w:hAnsi="Times New Roman" w:cs="Times New Roman"/>
                <w:color w:val="auto"/>
                <w:kern w:val="0"/>
                <w:sz w:val="24"/>
                <w:highlight w:val="none"/>
                <w:lang w:eastAsia="zh-CN"/>
              </w:rPr>
              <w:t>。</w:t>
            </w:r>
          </w:p>
          <w:p>
            <w:pPr>
              <w:spacing w:line="360" w:lineRule="auto"/>
              <w:ind w:firstLine="480" w:firstLineChars="200"/>
              <w:rPr>
                <w:rFonts w:ascii="Times New Roman" w:hAnsi="Times New Roman" w:cs="Times New Roman"/>
                <w:color w:val="auto"/>
                <w:sz w:val="24"/>
                <w:szCs w:val="20"/>
                <w:highlight w:val="none"/>
              </w:rPr>
            </w:pPr>
            <w:r>
              <w:rPr>
                <w:rFonts w:hint="eastAsia" w:ascii="Times New Roman" w:hAnsi="Times New Roman" w:cs="Times New Roman"/>
                <w:color w:val="auto"/>
                <w:kern w:val="0"/>
                <w:sz w:val="24"/>
                <w:highlight w:val="none"/>
                <w:lang w:val="en-US" w:eastAsia="zh-CN"/>
              </w:rPr>
              <w:t>③电焊焊接废气</w:t>
            </w:r>
          </w:p>
          <w:p>
            <w:pPr>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sz w:val="24"/>
                <w:szCs w:val="20"/>
                <w:highlight w:val="none"/>
              </w:rPr>
              <w:t>根据建设方提供的资料，本项目</w:t>
            </w:r>
            <w:r>
              <w:rPr>
                <w:rFonts w:hint="eastAsia" w:ascii="Times New Roman" w:hAnsi="Times New Roman" w:cs="Times New Roman"/>
                <w:color w:val="auto"/>
                <w:sz w:val="24"/>
                <w:szCs w:val="20"/>
                <w:highlight w:val="none"/>
                <w:lang w:val="en-US" w:eastAsia="zh-CN"/>
              </w:rPr>
              <w:t>生产车间</w:t>
            </w:r>
            <w:r>
              <w:rPr>
                <w:rFonts w:hint="eastAsia" w:cs="Times New Roman"/>
                <w:color w:val="auto"/>
                <w:sz w:val="24"/>
                <w:szCs w:val="20"/>
                <w:highlight w:val="none"/>
                <w:lang w:val="en-US" w:eastAsia="zh-CN"/>
              </w:rPr>
              <w:t>3</w:t>
            </w:r>
            <w:r>
              <w:rPr>
                <w:rFonts w:ascii="Times New Roman" w:hAnsi="Times New Roman" w:cs="Times New Roman"/>
                <w:color w:val="auto"/>
                <w:sz w:val="24"/>
                <w:szCs w:val="20"/>
                <w:highlight w:val="none"/>
              </w:rPr>
              <w:t>电弧焊焊条年用量为</w:t>
            </w:r>
            <w:r>
              <w:rPr>
                <w:rFonts w:hint="eastAsia" w:ascii="Times New Roman" w:hAnsi="Times New Roman" w:cs="Times New Roman"/>
                <w:color w:val="auto"/>
                <w:sz w:val="24"/>
                <w:szCs w:val="20"/>
                <w:highlight w:val="none"/>
                <w:lang w:val="en-US" w:eastAsia="zh-CN"/>
              </w:rPr>
              <w:t>3</w:t>
            </w:r>
            <w:r>
              <w:rPr>
                <w:rFonts w:ascii="Times New Roman" w:hAnsi="Times New Roman" w:cs="Times New Roman"/>
                <w:color w:val="auto"/>
                <w:sz w:val="24"/>
                <w:szCs w:val="20"/>
                <w:highlight w:val="none"/>
              </w:rPr>
              <w:t>t/a，</w:t>
            </w:r>
            <w:r>
              <w:rPr>
                <w:rFonts w:ascii="Times New Roman" w:hAnsi="Times New Roman" w:cs="Times New Roman"/>
                <w:color w:val="auto"/>
                <w:kern w:val="0"/>
                <w:sz w:val="24"/>
                <w:highlight w:val="none"/>
              </w:rPr>
              <w:t>根据《不同焊接工艺的焊接烟尘污染特征》中焊接最大发尘量计算</w:t>
            </w:r>
            <w:r>
              <w:rPr>
                <w:rFonts w:ascii="Times New Roman" w:hAnsi="Times New Roman" w:cs="Times New Roman"/>
                <w:color w:val="auto"/>
                <w:sz w:val="24"/>
                <w:szCs w:val="20"/>
                <w:highlight w:val="none"/>
              </w:rPr>
              <w:t>，焊接材料的起尘量为6~8g/kg（钛钙型焊条），为安全起见，本报告按8g/kg（钛钙型焊条）计。根据建设单位提供的资料，本项目电弧焊焊条用量为</w:t>
            </w:r>
            <w:r>
              <w:rPr>
                <w:rFonts w:hint="eastAsia" w:ascii="Times New Roman" w:hAnsi="Times New Roman" w:cs="Times New Roman"/>
                <w:color w:val="auto"/>
                <w:sz w:val="24"/>
                <w:szCs w:val="20"/>
                <w:highlight w:val="none"/>
                <w:lang w:val="en-US" w:eastAsia="zh-CN"/>
              </w:rPr>
              <w:t>3</w:t>
            </w:r>
            <w:r>
              <w:rPr>
                <w:rFonts w:ascii="Times New Roman" w:hAnsi="Times New Roman" w:cs="Times New Roman"/>
                <w:color w:val="auto"/>
                <w:sz w:val="24"/>
                <w:szCs w:val="20"/>
                <w:highlight w:val="none"/>
              </w:rPr>
              <w:t>t/a，年焊接时间</w:t>
            </w:r>
            <w:r>
              <w:rPr>
                <w:rFonts w:hint="eastAsia" w:ascii="Times New Roman" w:hAnsi="Times New Roman" w:cs="Times New Roman"/>
                <w:color w:val="auto"/>
                <w:sz w:val="24"/>
                <w:szCs w:val="20"/>
                <w:highlight w:val="none"/>
                <w:lang w:val="en-US" w:eastAsia="zh-CN"/>
              </w:rPr>
              <w:t>18</w:t>
            </w:r>
            <w:r>
              <w:rPr>
                <w:rFonts w:ascii="Times New Roman" w:hAnsi="Times New Roman" w:cs="Times New Roman"/>
                <w:color w:val="auto"/>
                <w:sz w:val="24"/>
                <w:szCs w:val="20"/>
                <w:highlight w:val="none"/>
              </w:rPr>
              <w:t>00h，则电弧焊焊接烟尘产生量为</w:t>
            </w:r>
            <w:r>
              <w:rPr>
                <w:rFonts w:hint="eastAsia" w:ascii="Times New Roman" w:hAnsi="Times New Roman" w:cs="Times New Roman"/>
                <w:color w:val="auto"/>
                <w:sz w:val="24"/>
                <w:szCs w:val="20"/>
                <w:highlight w:val="none"/>
                <w:lang w:val="en-US" w:eastAsia="zh-CN"/>
              </w:rPr>
              <w:t>24</w:t>
            </w:r>
            <w:r>
              <w:rPr>
                <w:rFonts w:ascii="Times New Roman" w:hAnsi="Times New Roman" w:cs="Times New Roman"/>
                <w:color w:val="auto"/>
                <w:sz w:val="24"/>
                <w:szCs w:val="20"/>
                <w:highlight w:val="none"/>
              </w:rPr>
              <w:t>kg/a</w:t>
            </w:r>
            <w:r>
              <w:rPr>
                <w:rFonts w:hint="eastAsia" w:ascii="Times New Roman" w:hAnsi="Times New Roman" w:cs="Times New Roman"/>
                <w:color w:val="auto"/>
                <w:sz w:val="24"/>
                <w:szCs w:val="20"/>
                <w:highlight w:val="none"/>
                <w:lang w:eastAsia="zh-CN"/>
              </w:rPr>
              <w:t>，</w:t>
            </w:r>
            <w:r>
              <w:rPr>
                <w:rFonts w:ascii="Times New Roman" w:hAnsi="Times New Roman" w:cs="Times New Roman"/>
                <w:color w:val="auto"/>
                <w:kern w:val="0"/>
                <w:sz w:val="24"/>
                <w:highlight w:val="none"/>
              </w:rPr>
              <w:t>则颗粒物产生</w:t>
            </w:r>
            <w:r>
              <w:rPr>
                <w:rFonts w:hint="eastAsia" w:ascii="Times New Roman" w:hAnsi="Times New Roman" w:cs="Times New Roman"/>
                <w:color w:val="auto"/>
                <w:kern w:val="0"/>
                <w:sz w:val="24"/>
                <w:highlight w:val="none"/>
                <w:lang w:val="en-US" w:eastAsia="zh-CN"/>
              </w:rPr>
              <w:t>速率</w:t>
            </w:r>
            <w:r>
              <w:rPr>
                <w:rFonts w:ascii="Times New Roman" w:hAnsi="Times New Roman" w:cs="Times New Roman"/>
                <w:color w:val="auto"/>
                <w:kern w:val="0"/>
                <w:sz w:val="24"/>
                <w:highlight w:val="none"/>
              </w:rPr>
              <w:t>为</w:t>
            </w:r>
            <w:r>
              <w:rPr>
                <w:rFonts w:ascii="Times New Roman" w:hAnsi="Times New Roman" w:cs="Times New Roman"/>
                <w:color w:val="auto"/>
                <w:sz w:val="24"/>
                <w:szCs w:val="20"/>
                <w:highlight w:val="none"/>
              </w:rPr>
              <w:t>0.0</w:t>
            </w:r>
            <w:r>
              <w:rPr>
                <w:rFonts w:hint="eastAsia" w:ascii="Times New Roman" w:hAnsi="Times New Roman" w:cs="Times New Roman"/>
                <w:color w:val="auto"/>
                <w:sz w:val="24"/>
                <w:szCs w:val="20"/>
                <w:highlight w:val="none"/>
                <w:lang w:val="en-US" w:eastAsia="zh-CN"/>
              </w:rPr>
              <w:t>13</w:t>
            </w:r>
            <w:r>
              <w:rPr>
                <w:rFonts w:ascii="Times New Roman" w:hAnsi="Times New Roman" w:cs="Times New Roman"/>
                <w:color w:val="auto"/>
                <w:sz w:val="24"/>
                <w:szCs w:val="20"/>
                <w:highlight w:val="none"/>
              </w:rPr>
              <w:t>kg/h，</w:t>
            </w:r>
            <w:r>
              <w:rPr>
                <w:rFonts w:ascii="Times New Roman" w:hAnsi="Times New Roman" w:cs="Times New Roman"/>
                <w:color w:val="auto"/>
                <w:kern w:val="24"/>
                <w:sz w:val="24"/>
                <w:szCs w:val="20"/>
                <w:highlight w:val="none"/>
              </w:rPr>
              <w:t>收集效率按70</w:t>
            </w:r>
            <w:r>
              <w:rPr>
                <w:rFonts w:ascii="Times New Roman" w:hAnsi="Times New Roman" w:cs="Times New Roman"/>
                <w:color w:val="auto"/>
                <w:kern w:val="0"/>
                <w:sz w:val="24"/>
                <w:highlight w:val="none"/>
              </w:rPr>
              <w:t>%计，</w:t>
            </w:r>
            <w:r>
              <w:rPr>
                <w:rFonts w:hint="eastAsia" w:ascii="Times New Roman" w:hAnsi="Times New Roman" w:cs="Times New Roman"/>
                <w:color w:val="auto"/>
                <w:kern w:val="0"/>
                <w:sz w:val="24"/>
                <w:highlight w:val="none"/>
                <w:lang w:val="en-US" w:eastAsia="zh-CN"/>
              </w:rPr>
              <w:t>布袋</w:t>
            </w:r>
            <w:r>
              <w:rPr>
                <w:rFonts w:ascii="Times New Roman" w:hAnsi="Times New Roman" w:cs="Times New Roman"/>
                <w:color w:val="auto"/>
                <w:kern w:val="0"/>
                <w:sz w:val="24"/>
                <w:highlight w:val="none"/>
              </w:rPr>
              <w:t>除尘器除尘效率约为95%</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通过排气筒P</w:t>
            </w:r>
            <w:r>
              <w:rPr>
                <w:rFonts w:hint="eastAsia" w:cs="Times New Roman"/>
                <w:color w:val="auto"/>
                <w:kern w:val="0"/>
                <w:sz w:val="24"/>
                <w:highlight w:val="none"/>
                <w:lang w:val="en-US" w:eastAsia="zh-CN"/>
              </w:rPr>
              <w:t>4</w:t>
            </w:r>
            <w:r>
              <w:rPr>
                <w:rFonts w:hint="eastAsia" w:ascii="Times New Roman" w:hAnsi="Times New Roman" w:cs="Times New Roman"/>
                <w:color w:val="auto"/>
                <w:kern w:val="0"/>
                <w:sz w:val="24"/>
                <w:highlight w:val="none"/>
                <w:lang w:val="en-US" w:eastAsia="zh-CN"/>
              </w:rPr>
              <w:t>有组织产生量为16.8kg，有组织产生速率为0.0091kg/h</w:t>
            </w:r>
            <w:r>
              <w:rPr>
                <w:rFonts w:hint="eastAsia" w:ascii="Times New Roman" w:hAnsi="Times New Roman" w:cs="Times New Roman"/>
                <w:color w:val="auto"/>
                <w:kern w:val="0"/>
                <w:sz w:val="24"/>
                <w:highlight w:val="none"/>
                <w:lang w:eastAsia="zh-CN"/>
              </w:rPr>
              <w:t>。</w:t>
            </w:r>
          </w:p>
          <w:p>
            <w:pPr>
              <w:spacing w:line="360" w:lineRule="auto"/>
              <w:ind w:firstLine="480" w:firstLineChars="200"/>
              <w:rPr>
                <w:color w:val="auto"/>
                <w:highlight w:val="none"/>
              </w:rPr>
            </w:pPr>
            <w:r>
              <w:rPr>
                <w:rFonts w:hint="eastAsia" w:ascii="Times New Roman" w:hAnsi="Times New Roman" w:cs="Times New Roman"/>
                <w:color w:val="auto"/>
                <w:sz w:val="24"/>
                <w:szCs w:val="20"/>
                <w:highlight w:val="none"/>
                <w:lang w:val="en-US" w:eastAsia="zh-CN"/>
              </w:rPr>
              <w:t>④埋弧焊焊接废气</w:t>
            </w:r>
          </w:p>
          <w:p>
            <w:pPr>
              <w:spacing w:line="360" w:lineRule="auto"/>
              <w:ind w:firstLine="480" w:firstLineChars="200"/>
              <w:rPr>
                <w:rFonts w:ascii="Times New Roman" w:hAnsi="Times New Roman" w:cs="Times New Roman"/>
                <w:color w:val="auto"/>
                <w:kern w:val="0"/>
                <w:sz w:val="24"/>
                <w:highlight w:val="none"/>
              </w:rPr>
            </w:pPr>
            <w:r>
              <w:rPr>
                <w:rFonts w:ascii="Times New Roman" w:hAnsi="Times New Roman" w:cs="Times New Roman"/>
                <w:color w:val="auto"/>
                <w:sz w:val="24"/>
                <w:szCs w:val="20"/>
                <w:highlight w:val="none"/>
              </w:rPr>
              <w:t>根据建设方提供的资料，</w:t>
            </w:r>
            <w:r>
              <w:rPr>
                <w:rFonts w:ascii="Times New Roman" w:hAnsi="Times New Roman" w:cs="Times New Roman"/>
                <w:color w:val="auto"/>
                <w:kern w:val="0"/>
                <w:sz w:val="24"/>
                <w:highlight w:val="none"/>
              </w:rPr>
              <w:t>本项目建设完成后，</w:t>
            </w:r>
            <w:r>
              <w:rPr>
                <w:rFonts w:hint="eastAsia" w:ascii="Times New Roman" w:hAnsi="Times New Roman" w:cs="Times New Roman"/>
                <w:color w:val="auto"/>
                <w:kern w:val="0"/>
                <w:sz w:val="24"/>
                <w:highlight w:val="none"/>
                <w:lang w:val="en-US" w:eastAsia="zh-CN"/>
              </w:rPr>
              <w:t>生产</w:t>
            </w:r>
            <w:r>
              <w:rPr>
                <w:rFonts w:ascii="Times New Roman" w:hAnsi="Times New Roman" w:cs="Times New Roman"/>
                <w:color w:val="auto"/>
                <w:kern w:val="0"/>
                <w:sz w:val="24"/>
                <w:highlight w:val="none"/>
              </w:rPr>
              <w:t>车间</w:t>
            </w:r>
            <w:r>
              <w:rPr>
                <w:rFonts w:hint="eastAsia" w:cs="Times New Roman"/>
                <w:color w:val="auto"/>
                <w:kern w:val="0"/>
                <w:sz w:val="24"/>
                <w:highlight w:val="none"/>
                <w:lang w:val="en-US" w:eastAsia="zh-CN"/>
              </w:rPr>
              <w:t>3</w:t>
            </w:r>
            <w:r>
              <w:rPr>
                <w:rFonts w:ascii="Times New Roman" w:hAnsi="Times New Roman" w:cs="Times New Roman"/>
                <w:color w:val="auto"/>
                <w:kern w:val="0"/>
                <w:sz w:val="24"/>
                <w:highlight w:val="none"/>
              </w:rPr>
              <w:t>埋弧焊焊丝年用量为</w:t>
            </w:r>
            <w:r>
              <w:rPr>
                <w:rFonts w:hint="eastAsia" w:ascii="Times New Roman" w:hAnsi="Times New Roman" w:cs="Times New Roman"/>
                <w:color w:val="auto"/>
                <w:kern w:val="0"/>
                <w:sz w:val="24"/>
                <w:highlight w:val="none"/>
                <w:lang w:val="en-US" w:eastAsia="zh-CN"/>
              </w:rPr>
              <w:t>4</w:t>
            </w:r>
            <w:r>
              <w:rPr>
                <w:rFonts w:ascii="Times New Roman" w:hAnsi="Times New Roman" w:cs="Times New Roman"/>
                <w:color w:val="auto"/>
                <w:kern w:val="0"/>
                <w:sz w:val="24"/>
                <w:highlight w:val="none"/>
              </w:rPr>
              <w:t>t/a，焊剂年用量为</w:t>
            </w:r>
            <w:r>
              <w:rPr>
                <w:rFonts w:hint="eastAsia" w:ascii="Times New Roman" w:hAnsi="Times New Roman" w:cs="Times New Roman"/>
                <w:color w:val="auto"/>
                <w:kern w:val="0"/>
                <w:sz w:val="24"/>
                <w:highlight w:val="none"/>
                <w:lang w:val="en-US" w:eastAsia="zh-CN"/>
              </w:rPr>
              <w:t>3</w:t>
            </w:r>
            <w:r>
              <w:rPr>
                <w:rFonts w:ascii="Times New Roman" w:hAnsi="Times New Roman" w:cs="Times New Roman"/>
                <w:color w:val="auto"/>
                <w:kern w:val="0"/>
                <w:sz w:val="24"/>
                <w:highlight w:val="none"/>
              </w:rPr>
              <w:t>t/a，埋弧焊采用实芯焊丝，根据《不同焊接工艺的焊接烟尘污染特征》中焊接最大发尘量计算，埋弧焊焊接烟尘产生量为0.1～0.3g/kg，为</w:t>
            </w:r>
            <w:r>
              <w:rPr>
                <w:rFonts w:hint="eastAsia" w:ascii="Times New Roman" w:hAnsi="Times New Roman" w:cs="Times New Roman"/>
                <w:color w:val="auto"/>
                <w:kern w:val="0"/>
                <w:sz w:val="24"/>
                <w:highlight w:val="none"/>
                <w:lang w:val="en-US" w:eastAsia="zh-CN"/>
              </w:rPr>
              <w:t>保守</w:t>
            </w:r>
            <w:r>
              <w:rPr>
                <w:rFonts w:ascii="Times New Roman" w:hAnsi="Times New Roman" w:cs="Times New Roman"/>
                <w:color w:val="auto"/>
                <w:kern w:val="0"/>
                <w:sz w:val="24"/>
                <w:highlight w:val="none"/>
              </w:rPr>
              <w:t>起见，本报告埋弧焊发尘量按0.3g/（kg焊接材料）计，埋弧焊焊接时间为</w:t>
            </w:r>
            <w:r>
              <w:rPr>
                <w:rFonts w:hint="eastAsia" w:ascii="Times New Roman" w:hAnsi="Times New Roman" w:cs="Times New Roman"/>
                <w:color w:val="auto"/>
                <w:kern w:val="0"/>
                <w:sz w:val="24"/>
                <w:highlight w:val="none"/>
                <w:lang w:val="en-US" w:eastAsia="zh-CN"/>
              </w:rPr>
              <w:t>18</w:t>
            </w:r>
            <w:r>
              <w:rPr>
                <w:rFonts w:ascii="Times New Roman" w:hAnsi="Times New Roman" w:cs="Times New Roman"/>
                <w:color w:val="auto"/>
                <w:kern w:val="0"/>
                <w:sz w:val="24"/>
                <w:highlight w:val="none"/>
              </w:rPr>
              <w:t>00h/a，则埋弧焊焊接烟尘产生量为</w:t>
            </w:r>
            <w:r>
              <w:rPr>
                <w:rFonts w:hint="eastAsia" w:ascii="Times New Roman" w:hAnsi="Times New Roman" w:cs="Times New Roman"/>
                <w:color w:val="auto"/>
                <w:kern w:val="0"/>
                <w:sz w:val="24"/>
                <w:highlight w:val="none"/>
                <w:lang w:val="en-US" w:eastAsia="zh-CN"/>
              </w:rPr>
              <w:t>2.1</w:t>
            </w:r>
            <w:r>
              <w:rPr>
                <w:rFonts w:ascii="Times New Roman" w:hAnsi="Times New Roman" w:cs="Times New Roman"/>
                <w:color w:val="auto"/>
                <w:kern w:val="0"/>
                <w:sz w:val="24"/>
                <w:highlight w:val="none"/>
              </w:rPr>
              <w:t>kg/a，则颗粒物产生</w:t>
            </w:r>
            <w:r>
              <w:rPr>
                <w:rFonts w:hint="eastAsia" w:ascii="Times New Roman" w:hAnsi="Times New Roman" w:cs="Times New Roman"/>
                <w:color w:val="auto"/>
                <w:kern w:val="0"/>
                <w:sz w:val="24"/>
                <w:highlight w:val="none"/>
                <w:lang w:val="en-US" w:eastAsia="zh-CN"/>
              </w:rPr>
              <w:t>速率</w:t>
            </w:r>
            <w:r>
              <w:rPr>
                <w:rFonts w:ascii="Times New Roman" w:hAnsi="Times New Roman" w:cs="Times New Roman"/>
                <w:color w:val="auto"/>
                <w:kern w:val="0"/>
                <w:sz w:val="24"/>
                <w:highlight w:val="none"/>
              </w:rPr>
              <w:t>为</w:t>
            </w:r>
            <w:r>
              <w:rPr>
                <w:rFonts w:ascii="Times New Roman" w:hAnsi="Times New Roman" w:cs="Times New Roman"/>
                <w:color w:val="auto"/>
                <w:sz w:val="24"/>
                <w:szCs w:val="20"/>
                <w:highlight w:val="none"/>
              </w:rPr>
              <w:t>0.0</w:t>
            </w:r>
            <w:r>
              <w:rPr>
                <w:rFonts w:hint="eastAsia" w:ascii="Times New Roman" w:hAnsi="Times New Roman" w:cs="Times New Roman"/>
                <w:color w:val="auto"/>
                <w:sz w:val="24"/>
                <w:szCs w:val="20"/>
                <w:highlight w:val="none"/>
                <w:lang w:val="en-US" w:eastAsia="zh-CN"/>
              </w:rPr>
              <w:t>012</w:t>
            </w:r>
            <w:r>
              <w:rPr>
                <w:rFonts w:ascii="Times New Roman" w:hAnsi="Times New Roman" w:cs="Times New Roman"/>
                <w:color w:val="auto"/>
                <w:sz w:val="24"/>
                <w:szCs w:val="20"/>
                <w:highlight w:val="none"/>
              </w:rPr>
              <w:t>kg/h，</w:t>
            </w:r>
            <w:r>
              <w:rPr>
                <w:rFonts w:ascii="Times New Roman" w:hAnsi="Times New Roman" w:cs="Times New Roman"/>
                <w:color w:val="auto"/>
                <w:kern w:val="24"/>
                <w:sz w:val="24"/>
                <w:szCs w:val="20"/>
                <w:highlight w:val="none"/>
              </w:rPr>
              <w:t>收集效率按70</w:t>
            </w:r>
            <w:r>
              <w:rPr>
                <w:rFonts w:ascii="Times New Roman" w:hAnsi="Times New Roman" w:cs="Times New Roman"/>
                <w:color w:val="auto"/>
                <w:kern w:val="0"/>
                <w:sz w:val="24"/>
                <w:highlight w:val="none"/>
              </w:rPr>
              <w:t>%计，</w:t>
            </w:r>
            <w:r>
              <w:rPr>
                <w:rFonts w:hint="eastAsia" w:ascii="Times New Roman" w:hAnsi="Times New Roman" w:cs="Times New Roman"/>
                <w:color w:val="auto"/>
                <w:kern w:val="0"/>
                <w:sz w:val="24"/>
                <w:highlight w:val="none"/>
                <w:lang w:val="en-US" w:eastAsia="zh-CN"/>
              </w:rPr>
              <w:t>布袋</w:t>
            </w:r>
            <w:r>
              <w:rPr>
                <w:rFonts w:ascii="Times New Roman" w:hAnsi="Times New Roman" w:cs="Times New Roman"/>
                <w:color w:val="auto"/>
                <w:kern w:val="0"/>
                <w:sz w:val="24"/>
                <w:highlight w:val="none"/>
              </w:rPr>
              <w:t>除尘器除尘效率约为95%</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highlight w:val="none"/>
                <w:lang w:val="en-US" w:eastAsia="zh-CN"/>
              </w:rPr>
              <w:t>通过排气筒P</w:t>
            </w:r>
            <w:r>
              <w:rPr>
                <w:rFonts w:hint="eastAsia" w:cs="Times New Roman"/>
                <w:color w:val="auto"/>
                <w:kern w:val="0"/>
                <w:sz w:val="24"/>
                <w:highlight w:val="none"/>
                <w:lang w:val="en-US" w:eastAsia="zh-CN"/>
              </w:rPr>
              <w:t>4</w:t>
            </w:r>
            <w:r>
              <w:rPr>
                <w:rFonts w:hint="eastAsia" w:ascii="Times New Roman" w:hAnsi="Times New Roman" w:cs="Times New Roman"/>
                <w:color w:val="auto"/>
                <w:kern w:val="0"/>
                <w:sz w:val="24"/>
                <w:highlight w:val="none"/>
                <w:lang w:val="en-US" w:eastAsia="zh-CN"/>
              </w:rPr>
              <w:t>有组织产生量为1.47kg，有组织产生速率为0.00082kg/h</w:t>
            </w:r>
            <w:r>
              <w:rPr>
                <w:rFonts w:hint="eastAsia" w:ascii="Times New Roman" w:hAnsi="Times New Roman" w:cs="Times New Roman"/>
                <w:color w:val="auto"/>
                <w:kern w:val="0"/>
                <w:sz w:val="24"/>
                <w:highlight w:val="none"/>
                <w:lang w:eastAsia="zh-CN"/>
              </w:rPr>
              <w:t>。</w:t>
            </w:r>
          </w:p>
          <w:p>
            <w:pPr>
              <w:spacing w:line="360" w:lineRule="auto"/>
              <w:ind w:firstLine="480" w:firstLineChars="200"/>
              <w:rPr>
                <w:rFonts w:hint="default" w:ascii="Times New Roman" w:hAnsi="Times New Roman" w:cs="Times New Roman"/>
                <w:color w:val="auto"/>
                <w:kern w:val="0"/>
                <w:sz w:val="24"/>
                <w:highlight w:val="none"/>
                <w:lang w:val="en-US" w:eastAsia="zh-CN"/>
              </w:rPr>
            </w:pPr>
            <w:r>
              <w:rPr>
                <w:rFonts w:hint="eastAsia" w:cs="Times New Roman"/>
                <w:color w:val="auto"/>
                <w:kern w:val="0"/>
                <w:sz w:val="24"/>
                <w:highlight w:val="none"/>
                <w:lang w:val="en-US" w:eastAsia="zh-CN"/>
              </w:rPr>
              <w:t>⑤打磨废气</w:t>
            </w:r>
          </w:p>
          <w:p>
            <w:pPr>
              <w:spacing w:line="360" w:lineRule="auto"/>
              <w:ind w:firstLine="480" w:firstLineChars="200"/>
              <w:rPr>
                <w:rFonts w:hint="eastAsia" w:ascii="Times New Roman" w:hAnsi="Times New Roman" w:cs="Times New Roman"/>
                <w:color w:val="auto"/>
                <w:kern w:val="0"/>
                <w:sz w:val="24"/>
                <w:highlight w:val="none"/>
                <w:lang w:val="en-US" w:eastAsia="zh-CN"/>
              </w:rPr>
            </w:pPr>
            <w:r>
              <w:rPr>
                <w:rFonts w:ascii="Times New Roman" w:hAnsi="Times New Roman" w:cs="Times New Roman"/>
                <w:color w:val="auto"/>
                <w:kern w:val="24"/>
                <w:sz w:val="24"/>
                <w:szCs w:val="20"/>
                <w:highlight w:val="none"/>
              </w:rPr>
              <w:t>根据建设单位提供资料，经过埋弧焊后部分工件表面会存在少量毛刺，需要进行打磨，本项目</w:t>
            </w:r>
            <w:r>
              <w:rPr>
                <w:rFonts w:hint="eastAsia" w:ascii="Times New Roman" w:hAnsi="Times New Roman" w:cs="Times New Roman"/>
                <w:color w:val="auto"/>
                <w:kern w:val="24"/>
                <w:sz w:val="24"/>
                <w:szCs w:val="20"/>
                <w:highlight w:val="none"/>
                <w:lang w:val="en-US" w:eastAsia="zh-CN"/>
              </w:rPr>
              <w:t>生产车间3</w:t>
            </w:r>
            <w:r>
              <w:rPr>
                <w:rFonts w:ascii="Times New Roman" w:hAnsi="Times New Roman" w:cs="Times New Roman"/>
                <w:color w:val="auto"/>
                <w:kern w:val="24"/>
                <w:sz w:val="24"/>
                <w:szCs w:val="20"/>
                <w:highlight w:val="none"/>
              </w:rPr>
              <w:t>约</w:t>
            </w:r>
            <w:r>
              <w:rPr>
                <w:rFonts w:hint="eastAsia" w:ascii="Times New Roman" w:hAnsi="Times New Roman" w:cs="Times New Roman"/>
                <w:color w:val="auto"/>
                <w:kern w:val="24"/>
                <w:sz w:val="24"/>
                <w:szCs w:val="20"/>
                <w:highlight w:val="none"/>
                <w:lang w:val="en-US" w:eastAsia="zh-CN"/>
              </w:rPr>
              <w:t>10</w:t>
            </w:r>
            <w:r>
              <w:rPr>
                <w:rFonts w:ascii="Times New Roman" w:hAnsi="Times New Roman" w:cs="Times New Roman"/>
                <w:color w:val="auto"/>
                <w:kern w:val="24"/>
                <w:sz w:val="24"/>
                <w:szCs w:val="20"/>
                <w:highlight w:val="none"/>
              </w:rPr>
              <w:t>0吨工件需要进行打磨，该打磨过程会产生极少量粉尘颗粒物，参考</w:t>
            </w:r>
            <w:r>
              <w:rPr>
                <w:rFonts w:ascii="Times New Roman" w:hAnsi="Times New Roman" w:cs="Times New Roman"/>
                <w:color w:val="auto"/>
                <w:sz w:val="24"/>
                <w:highlight w:val="none"/>
              </w:rPr>
              <w:t>《第二次全国污染源普查工业污染源产排污系数手册》钢材打磨排污系数2.19kg/t</w:t>
            </w:r>
            <w:r>
              <w:rPr>
                <w:rFonts w:ascii="Times New Roman" w:hAnsi="Times New Roman" w:cs="Times New Roman"/>
                <w:color w:val="auto"/>
                <w:kern w:val="24"/>
                <w:sz w:val="24"/>
                <w:szCs w:val="20"/>
                <w:highlight w:val="none"/>
              </w:rPr>
              <w:t>，则产生量为219kg/a（0.365kg/h），打磨工序每天运行2h，年运行时间为600h</w:t>
            </w:r>
            <w:r>
              <w:rPr>
                <w:rFonts w:hint="eastAsia" w:ascii="Times New Roman" w:hAnsi="Times New Roman" w:cs="Times New Roman"/>
                <w:color w:val="auto"/>
                <w:kern w:val="24"/>
                <w:sz w:val="24"/>
                <w:szCs w:val="20"/>
                <w:highlight w:val="none"/>
                <w:lang w:eastAsia="zh-CN"/>
              </w:rPr>
              <w:t>，</w:t>
            </w:r>
            <w:r>
              <w:rPr>
                <w:rFonts w:ascii="Times New Roman" w:hAnsi="Times New Roman" w:cs="Times New Roman"/>
                <w:color w:val="auto"/>
                <w:kern w:val="24"/>
                <w:sz w:val="24"/>
                <w:szCs w:val="20"/>
                <w:highlight w:val="none"/>
              </w:rPr>
              <w:t>产生的颗粒物经焊接工位万向柔性吸气臂集气罩收集，收集效率按70%计，通过管道经</w:t>
            </w:r>
            <w:r>
              <w:rPr>
                <w:rFonts w:hint="eastAsia" w:ascii="Times New Roman" w:hAnsi="Times New Roman" w:cs="Times New Roman"/>
                <w:color w:val="auto"/>
                <w:kern w:val="24"/>
                <w:sz w:val="24"/>
                <w:szCs w:val="20"/>
                <w:highlight w:val="none"/>
                <w:lang w:val="en-US" w:eastAsia="zh-CN"/>
              </w:rPr>
              <w:t>1#布袋</w:t>
            </w:r>
            <w:r>
              <w:rPr>
                <w:rFonts w:ascii="Times New Roman" w:hAnsi="Times New Roman" w:cs="Times New Roman"/>
                <w:color w:val="auto"/>
                <w:kern w:val="24"/>
                <w:sz w:val="24"/>
                <w:szCs w:val="20"/>
                <w:highlight w:val="none"/>
              </w:rPr>
              <w:t>除尘器进行处理，处理效率按95%计，则打磨工序颗粒物有组织产生量为153.3kg/a</w:t>
            </w:r>
            <w:r>
              <w:rPr>
                <w:rFonts w:hint="eastAsia" w:ascii="Times New Roman" w:hAnsi="Times New Roman" w:cs="Times New Roman"/>
                <w:color w:val="auto"/>
                <w:kern w:val="24"/>
                <w:sz w:val="24"/>
                <w:szCs w:val="20"/>
                <w:highlight w:val="none"/>
                <w:lang w:eastAsia="zh-CN"/>
              </w:rPr>
              <w:t>，</w:t>
            </w:r>
            <w:r>
              <w:rPr>
                <w:rFonts w:hint="eastAsia" w:ascii="Times New Roman" w:hAnsi="Times New Roman" w:cs="Times New Roman"/>
                <w:color w:val="auto"/>
                <w:kern w:val="24"/>
                <w:sz w:val="24"/>
                <w:szCs w:val="20"/>
                <w:highlight w:val="none"/>
                <w:lang w:val="en-US" w:eastAsia="zh-CN"/>
              </w:rPr>
              <w:t>有组织产生速率为</w:t>
            </w:r>
            <w:r>
              <w:rPr>
                <w:rFonts w:ascii="Times New Roman" w:hAnsi="Times New Roman" w:cs="Times New Roman"/>
                <w:color w:val="auto"/>
                <w:kern w:val="24"/>
                <w:sz w:val="24"/>
                <w:szCs w:val="20"/>
                <w:highlight w:val="none"/>
              </w:rPr>
              <w:t>0.0511kg/h，有组织排放量为7.665kg/a</w:t>
            </w:r>
            <w:r>
              <w:rPr>
                <w:rFonts w:hint="eastAsia" w:ascii="Times New Roman" w:hAnsi="Times New Roman" w:cs="Times New Roman"/>
                <w:color w:val="auto"/>
                <w:kern w:val="24"/>
                <w:sz w:val="24"/>
                <w:szCs w:val="20"/>
                <w:highlight w:val="none"/>
                <w:lang w:eastAsia="zh-CN"/>
              </w:rPr>
              <w:t>，</w:t>
            </w:r>
            <w:r>
              <w:rPr>
                <w:rFonts w:hint="eastAsia" w:ascii="Times New Roman" w:hAnsi="Times New Roman" w:cs="Times New Roman"/>
                <w:color w:val="auto"/>
                <w:kern w:val="24"/>
                <w:sz w:val="24"/>
                <w:szCs w:val="20"/>
                <w:highlight w:val="none"/>
                <w:lang w:val="en-US" w:eastAsia="zh-CN"/>
              </w:rPr>
              <w:t>有组织排放速率为</w:t>
            </w:r>
            <w:r>
              <w:rPr>
                <w:rFonts w:ascii="Times New Roman" w:hAnsi="Times New Roman" w:cs="Times New Roman"/>
                <w:color w:val="auto"/>
                <w:kern w:val="24"/>
                <w:sz w:val="24"/>
                <w:szCs w:val="20"/>
                <w:highlight w:val="none"/>
              </w:rPr>
              <w:t>0.0128kg/h。打磨工序颗粒物无组织排放速率为0.1095kg/h，无组织排放量为65.7kg/a。</w:t>
            </w:r>
          </w:p>
          <w:p>
            <w:pPr>
              <w:spacing w:line="360" w:lineRule="auto"/>
              <w:ind w:firstLine="480" w:firstLineChars="200"/>
              <w:rPr>
                <w:rFonts w:hint="eastAsia" w:ascii="Times New Roman" w:hAnsi="Times New Roman" w:cs="Times New Roman"/>
                <w:color w:val="auto"/>
                <w:kern w:val="0"/>
                <w:sz w:val="24"/>
                <w:highlight w:val="none"/>
                <w:vertAlign w:val="baseline"/>
                <w:lang w:val="en-US" w:eastAsia="zh-CN"/>
              </w:rPr>
            </w:pPr>
            <w:r>
              <w:rPr>
                <w:rFonts w:hint="eastAsia" w:ascii="Times New Roman" w:hAnsi="Times New Roman" w:cs="Times New Roman"/>
                <w:color w:val="auto"/>
                <w:kern w:val="0"/>
                <w:sz w:val="24"/>
                <w:highlight w:val="none"/>
                <w:lang w:val="en-US" w:eastAsia="zh-CN"/>
              </w:rPr>
              <w:t>综上，本项目排气筒P1颗粒物有组织产生量为</w:t>
            </w:r>
            <w:r>
              <w:rPr>
                <w:rFonts w:hint="eastAsia" w:cs="Times New Roman"/>
                <w:color w:val="auto"/>
                <w:kern w:val="0"/>
                <w:sz w:val="24"/>
                <w:highlight w:val="none"/>
                <w:lang w:val="en-US" w:eastAsia="zh-CN"/>
              </w:rPr>
              <w:t>230.258</w:t>
            </w:r>
            <w:r>
              <w:rPr>
                <w:rFonts w:hint="eastAsia" w:ascii="Times New Roman" w:hAnsi="Times New Roman" w:cs="Times New Roman"/>
                <w:color w:val="auto"/>
                <w:kern w:val="0"/>
                <w:sz w:val="24"/>
                <w:highlight w:val="none"/>
                <w:lang w:val="en-US" w:eastAsia="zh-CN"/>
              </w:rPr>
              <w:t>kg，有组织产生速率为0.</w:t>
            </w:r>
            <w:r>
              <w:rPr>
                <w:rFonts w:hint="eastAsia" w:cs="Times New Roman"/>
                <w:color w:val="auto"/>
                <w:kern w:val="0"/>
                <w:sz w:val="24"/>
                <w:highlight w:val="none"/>
                <w:lang w:val="en-US" w:eastAsia="zh-CN"/>
              </w:rPr>
              <w:t>09378</w:t>
            </w:r>
            <w:r>
              <w:rPr>
                <w:rFonts w:ascii="Times New Roman" w:hAnsi="Times New Roman" w:cs="Times New Roman"/>
                <w:color w:val="auto"/>
                <w:sz w:val="24"/>
                <w:szCs w:val="20"/>
                <w:highlight w:val="none"/>
              </w:rPr>
              <w:t>kg/h</w:t>
            </w:r>
            <w:r>
              <w:rPr>
                <w:rFonts w:hint="eastAsia" w:ascii="Times New Roman" w:hAnsi="Times New Roman" w:cs="Times New Roman"/>
                <w:color w:val="auto"/>
                <w:kern w:val="0"/>
                <w:sz w:val="24"/>
                <w:highlight w:val="none"/>
                <w:lang w:val="en-US" w:eastAsia="zh-CN"/>
              </w:rPr>
              <w:t>，有组织排放量为</w:t>
            </w:r>
            <w:r>
              <w:rPr>
                <w:rFonts w:hint="eastAsia" w:cs="Times New Roman"/>
                <w:color w:val="auto"/>
                <w:kern w:val="0"/>
                <w:sz w:val="24"/>
                <w:highlight w:val="none"/>
                <w:lang w:val="en-US" w:eastAsia="zh-CN"/>
              </w:rPr>
              <w:t>11.5399</w:t>
            </w:r>
            <w:r>
              <w:rPr>
                <w:rFonts w:hint="eastAsia" w:ascii="Times New Roman" w:hAnsi="Times New Roman" w:cs="Times New Roman"/>
                <w:color w:val="auto"/>
                <w:kern w:val="0"/>
                <w:sz w:val="24"/>
                <w:highlight w:val="none"/>
                <w:lang w:val="en-US" w:eastAsia="zh-CN"/>
              </w:rPr>
              <w:t>kg，有组织排放速率为0.0</w:t>
            </w:r>
            <w:r>
              <w:rPr>
                <w:rFonts w:hint="eastAsia" w:cs="Times New Roman"/>
                <w:color w:val="auto"/>
                <w:kern w:val="0"/>
                <w:sz w:val="24"/>
                <w:highlight w:val="none"/>
                <w:lang w:val="en-US" w:eastAsia="zh-CN"/>
              </w:rPr>
              <w:t>14934</w:t>
            </w:r>
            <w:r>
              <w:rPr>
                <w:rFonts w:ascii="Times New Roman" w:hAnsi="Times New Roman" w:cs="Times New Roman"/>
                <w:color w:val="auto"/>
                <w:sz w:val="24"/>
                <w:szCs w:val="20"/>
                <w:highlight w:val="none"/>
              </w:rPr>
              <w:t>kg/h</w:t>
            </w:r>
            <w:r>
              <w:rPr>
                <w:rFonts w:hint="eastAsia" w:ascii="Times New Roman" w:hAnsi="Times New Roman" w:cs="Times New Roman"/>
                <w:color w:val="auto"/>
                <w:kern w:val="0"/>
                <w:sz w:val="24"/>
                <w:highlight w:val="none"/>
                <w:lang w:val="en-US" w:eastAsia="zh-CN"/>
              </w:rPr>
              <w:t>。排气筒P</w:t>
            </w:r>
            <w:r>
              <w:rPr>
                <w:rFonts w:hint="eastAsia" w:cs="Times New Roman"/>
                <w:color w:val="auto"/>
                <w:kern w:val="0"/>
                <w:sz w:val="24"/>
                <w:highlight w:val="none"/>
                <w:lang w:val="en-US" w:eastAsia="zh-CN"/>
              </w:rPr>
              <w:t>4</w:t>
            </w:r>
            <w:r>
              <w:rPr>
                <w:rFonts w:hint="eastAsia" w:ascii="Times New Roman" w:hAnsi="Times New Roman" w:cs="Times New Roman"/>
                <w:color w:val="auto"/>
                <w:kern w:val="0"/>
                <w:sz w:val="24"/>
                <w:highlight w:val="none"/>
                <w:lang w:val="en-US" w:eastAsia="zh-CN"/>
              </w:rPr>
              <w:t>配套风机风量为8000m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lang w:val="en-US" w:eastAsia="zh-CN"/>
              </w:rPr>
              <w:t>/h，则排气筒P</w:t>
            </w:r>
            <w:r>
              <w:rPr>
                <w:rFonts w:hint="eastAsia" w:cs="Times New Roman"/>
                <w:color w:val="auto"/>
                <w:kern w:val="0"/>
                <w:sz w:val="24"/>
                <w:highlight w:val="none"/>
                <w:lang w:val="en-US" w:eastAsia="zh-CN"/>
              </w:rPr>
              <w:t>4</w:t>
            </w:r>
            <w:r>
              <w:rPr>
                <w:rFonts w:hint="eastAsia" w:ascii="Times New Roman" w:hAnsi="Times New Roman" w:cs="Times New Roman"/>
                <w:color w:val="auto"/>
                <w:kern w:val="0"/>
                <w:sz w:val="24"/>
                <w:highlight w:val="none"/>
                <w:lang w:val="en-US" w:eastAsia="zh-CN"/>
              </w:rPr>
              <w:t>有组织产生浓度为</w:t>
            </w:r>
            <w:r>
              <w:rPr>
                <w:rFonts w:hint="eastAsia" w:cs="Times New Roman"/>
                <w:color w:val="auto"/>
                <w:kern w:val="0"/>
                <w:sz w:val="24"/>
                <w:highlight w:val="none"/>
                <w:lang w:val="en-US" w:eastAsia="zh-CN"/>
              </w:rPr>
              <w:t>11.7</w:t>
            </w:r>
            <w:r>
              <w:rPr>
                <w:rFonts w:hint="eastAsia" w:ascii="Times New Roman" w:hAnsi="Times New Roman" w:cs="Times New Roman"/>
                <w:color w:val="auto"/>
                <w:kern w:val="0"/>
                <w:sz w:val="24"/>
                <w:highlight w:val="none"/>
                <w:lang w:val="en-US" w:eastAsia="zh-CN"/>
              </w:rPr>
              <w:t>mg/m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lang w:val="en-US" w:eastAsia="zh-CN"/>
              </w:rPr>
              <w:t>，有组织排放浓度为</w:t>
            </w:r>
            <w:r>
              <w:rPr>
                <w:rFonts w:hint="eastAsia" w:cs="Times New Roman"/>
                <w:color w:val="auto"/>
                <w:kern w:val="0"/>
                <w:sz w:val="24"/>
                <w:highlight w:val="none"/>
                <w:lang w:val="en-US" w:eastAsia="zh-CN"/>
              </w:rPr>
              <w:t>1.9</w:t>
            </w:r>
            <w:r>
              <w:rPr>
                <w:rFonts w:hint="eastAsia" w:ascii="Times New Roman" w:hAnsi="Times New Roman" w:cs="Times New Roman"/>
                <w:color w:val="auto"/>
                <w:kern w:val="0"/>
                <w:sz w:val="24"/>
                <w:highlight w:val="none"/>
                <w:lang w:val="en-US" w:eastAsia="zh-CN"/>
              </w:rPr>
              <w:t>mg/m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vertAlign w:val="baseline"/>
                <w:lang w:val="en-US" w:eastAsia="zh-CN"/>
              </w:rPr>
              <w:t>。</w:t>
            </w:r>
            <w:r>
              <w:rPr>
                <w:rFonts w:hint="eastAsia" w:cs="Times New Roman"/>
                <w:color w:val="auto"/>
                <w:kern w:val="0"/>
                <w:sz w:val="24"/>
                <w:highlight w:val="none"/>
                <w:vertAlign w:val="baseline"/>
                <w:lang w:val="en-US" w:eastAsia="zh-CN"/>
              </w:rPr>
              <w:t>颗粒物无组织排放速率为0.1278kg/h。</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（5）排气筒P5排放</w:t>
            </w:r>
            <w:r>
              <w:rPr>
                <w:rFonts w:hint="default" w:ascii="Times New Roman" w:hAnsi="Times New Roman" w:eastAsia="宋体" w:cs="Times New Roman"/>
                <w:color w:val="auto"/>
                <w:kern w:val="0"/>
                <w:sz w:val="24"/>
                <w:highlight w:val="none"/>
                <w:lang w:val="en-US" w:eastAsia="zh-CN"/>
              </w:rPr>
              <w:t>颗粒物</w:t>
            </w:r>
          </w:p>
          <w:p>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本项目生产车间3内</w:t>
            </w:r>
            <w:r>
              <w:rPr>
                <w:rFonts w:hint="default" w:ascii="Times New Roman" w:hAnsi="Times New Roman" w:eastAsia="宋体" w:cs="Times New Roman"/>
                <w:color w:val="auto"/>
                <w:kern w:val="0"/>
                <w:sz w:val="24"/>
                <w:highlight w:val="none"/>
                <w:lang w:val="en-US" w:eastAsia="zh-CN"/>
              </w:rPr>
              <w:t>抛丸机产生的颗粒物经自带</w:t>
            </w:r>
            <w:r>
              <w:rPr>
                <w:rFonts w:hint="eastAsia"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lang w:val="en-US" w:eastAsia="zh-CN"/>
              </w:rPr>
              <w:t>#布袋除尘器+18m排气筒P</w:t>
            </w:r>
            <w:r>
              <w:rPr>
                <w:rFonts w:hint="eastAsia"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lang w:val="en-US" w:eastAsia="zh-CN"/>
              </w:rPr>
              <w:t>排放。本项目采用抛丸机对工件表面进行预处理，抛丸工序会产生一定的粉尘。</w:t>
            </w:r>
          </w:p>
          <w:p>
            <w:pPr>
              <w:spacing w:line="360" w:lineRule="auto"/>
              <w:ind w:firstLine="480" w:firstLineChars="200"/>
              <w:rPr>
                <w:rFonts w:hint="eastAsia"/>
                <w:color w:val="auto"/>
                <w:highlight w:val="none"/>
                <w:lang w:val="en-US" w:eastAsia="zh-CN"/>
              </w:rPr>
            </w:pPr>
            <w:r>
              <w:rPr>
                <w:rFonts w:hint="default" w:ascii="Times New Roman" w:hAnsi="Times New Roman" w:eastAsia="宋体" w:cs="Times New Roman"/>
                <w:color w:val="auto"/>
                <w:kern w:val="0"/>
                <w:sz w:val="24"/>
                <w:highlight w:val="none"/>
                <w:lang w:val="en-US" w:eastAsia="zh-CN"/>
              </w:rPr>
              <w:t>根据《工业源产排污系数手册》（2010 修订）中资料，抛丸工序的粉尘产生量按照 2.1kg/t 产品计。根据建设单位提供的设计资料，</w:t>
            </w:r>
            <w:r>
              <w:rPr>
                <w:rFonts w:hint="eastAsia" w:cs="Times New Roman"/>
                <w:color w:val="auto"/>
                <w:kern w:val="0"/>
                <w:sz w:val="24"/>
                <w:highlight w:val="none"/>
                <w:lang w:val="en-US" w:eastAsia="zh-CN"/>
              </w:rPr>
              <w:t>车间3内抛丸机</w:t>
            </w:r>
            <w:r>
              <w:rPr>
                <w:rFonts w:hint="default" w:ascii="Times New Roman" w:hAnsi="Times New Roman" w:eastAsia="宋体" w:cs="Times New Roman"/>
                <w:color w:val="auto"/>
                <w:kern w:val="0"/>
                <w:sz w:val="24"/>
                <w:highlight w:val="none"/>
                <w:lang w:val="en-US" w:eastAsia="zh-CN"/>
              </w:rPr>
              <w:t>需要进行抛丸处理的钢结构</w:t>
            </w:r>
            <w:r>
              <w:rPr>
                <w:rFonts w:hint="eastAsia" w:ascii="Times New Roman" w:hAnsi="Times New Roman" w:eastAsia="宋体" w:cs="Times New Roman"/>
                <w:color w:val="auto"/>
                <w:kern w:val="0"/>
                <w:sz w:val="24"/>
                <w:highlight w:val="none"/>
                <w:lang w:val="en-US" w:eastAsia="zh-CN"/>
              </w:rPr>
              <w:t>、钢板</w:t>
            </w:r>
            <w:r>
              <w:rPr>
                <w:rFonts w:hint="default" w:ascii="Times New Roman" w:hAnsi="Times New Roman" w:eastAsia="宋体" w:cs="Times New Roman"/>
                <w:color w:val="auto"/>
                <w:kern w:val="0"/>
                <w:sz w:val="24"/>
                <w:highlight w:val="none"/>
                <w:lang w:val="en-US" w:eastAsia="zh-CN"/>
              </w:rPr>
              <w:t>重量约为</w:t>
            </w:r>
            <w:r>
              <w:rPr>
                <w:rFonts w:hint="eastAsia" w:ascii="Times New Roman" w:hAnsi="Times New Roman" w:eastAsia="宋体" w:cs="Times New Roman"/>
                <w:color w:val="auto"/>
                <w:kern w:val="0"/>
                <w:sz w:val="24"/>
                <w:highlight w:val="none"/>
                <w:lang w:val="en-US" w:eastAsia="zh-CN"/>
              </w:rPr>
              <w:t>2500</w:t>
            </w:r>
            <w:r>
              <w:rPr>
                <w:rFonts w:hint="default" w:ascii="Times New Roman" w:hAnsi="Times New Roman" w:eastAsia="宋体" w:cs="Times New Roman"/>
                <w:color w:val="auto"/>
                <w:kern w:val="0"/>
                <w:sz w:val="24"/>
                <w:highlight w:val="none"/>
                <w:lang w:val="en-US" w:eastAsia="zh-CN"/>
              </w:rPr>
              <w:t>t/a，该工序年工作</w:t>
            </w:r>
            <w:r>
              <w:rPr>
                <w:rFonts w:hint="eastAsia" w:ascii="Times New Roman" w:hAnsi="Times New Roman" w:eastAsia="宋体" w:cs="Times New Roman"/>
                <w:color w:val="auto"/>
                <w:kern w:val="0"/>
                <w:sz w:val="24"/>
                <w:highlight w:val="none"/>
                <w:lang w:val="en-US" w:eastAsia="zh-CN"/>
              </w:rPr>
              <w:t>18</w:t>
            </w:r>
            <w:r>
              <w:rPr>
                <w:rFonts w:hint="default" w:ascii="Times New Roman" w:hAnsi="Times New Roman" w:eastAsia="宋体" w:cs="Times New Roman"/>
                <w:color w:val="auto"/>
                <w:kern w:val="0"/>
                <w:sz w:val="24"/>
                <w:highlight w:val="none"/>
                <w:lang w:val="en-US" w:eastAsia="zh-CN"/>
              </w:rPr>
              <w:t>00h，抛丸工序颗粒物产生量为</w:t>
            </w:r>
            <w:r>
              <w:rPr>
                <w:rFonts w:hint="eastAsia" w:ascii="Times New Roman" w:hAnsi="Times New Roman" w:eastAsia="宋体" w:cs="Times New Roman"/>
                <w:color w:val="auto"/>
                <w:kern w:val="0"/>
                <w:sz w:val="24"/>
                <w:highlight w:val="none"/>
                <w:lang w:val="en-US" w:eastAsia="zh-CN"/>
              </w:rPr>
              <w:t>5.25</w:t>
            </w:r>
            <w:r>
              <w:rPr>
                <w:rFonts w:hint="default" w:ascii="Times New Roman" w:hAnsi="Times New Roman" w:eastAsia="宋体" w:cs="Times New Roman"/>
                <w:color w:val="auto"/>
                <w:kern w:val="0"/>
                <w:sz w:val="24"/>
                <w:highlight w:val="none"/>
                <w:lang w:val="en-US" w:eastAsia="zh-CN"/>
              </w:rPr>
              <w:t>t/a</w:t>
            </w:r>
            <w:r>
              <w:rPr>
                <w:rFonts w:hint="eastAsia" w:ascii="Times New Roman" w:hAnsi="Times New Roman" w:eastAsia="宋体" w:cs="Times New Roman"/>
                <w:color w:val="auto"/>
                <w:kern w:val="0"/>
                <w:sz w:val="24"/>
                <w:highlight w:val="none"/>
                <w:lang w:val="en-US" w:eastAsia="zh-CN"/>
              </w:rPr>
              <w:t>，颗粒物产生速率为2.92</w:t>
            </w:r>
            <w:r>
              <w:rPr>
                <w:rFonts w:hint="default" w:ascii="Times New Roman" w:hAnsi="Times New Roman" w:eastAsia="宋体" w:cs="Times New Roman"/>
                <w:color w:val="auto"/>
                <w:kern w:val="0"/>
                <w:sz w:val="24"/>
                <w:highlight w:val="none"/>
                <w:lang w:val="en-US" w:eastAsia="zh-CN"/>
              </w:rPr>
              <w:t>kg/h。抛丸过程产生的粉尘经抛丸机内部收集系统进行收集，并在进出口安装密封性良好的软帘防止粉尘溢出，软帘下垂至抛丸机下方，能够将抛丸机进出口完全遮挡，实际运行过程中仍有极少部分颗粒物通过软帘缝隙排出，上述收集方式收集效率较高，本项目按照97%计，收集后的颗粒物最终经</w:t>
            </w:r>
            <w:r>
              <w:rPr>
                <w:rFonts w:hint="eastAsia" w:ascii="Times New Roman" w:hAnsi="Times New Roman" w:eastAsia="宋体" w:cs="Times New Roman"/>
                <w:color w:val="auto"/>
                <w:kern w:val="0"/>
                <w:sz w:val="24"/>
                <w:highlight w:val="none"/>
                <w:lang w:val="en-US" w:eastAsia="zh-CN"/>
              </w:rPr>
              <w:t>布袋</w:t>
            </w:r>
            <w:r>
              <w:rPr>
                <w:rFonts w:hint="default" w:ascii="Times New Roman" w:hAnsi="Times New Roman" w:eastAsia="宋体" w:cs="Times New Roman"/>
                <w:color w:val="auto"/>
                <w:kern w:val="0"/>
                <w:sz w:val="24"/>
                <w:highlight w:val="none"/>
                <w:lang w:val="en-US" w:eastAsia="zh-CN"/>
              </w:rPr>
              <w:t>除尘器处理，处理效率按95%计</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则抛丸工序排气筒P</w:t>
            </w:r>
            <w:r>
              <w:rPr>
                <w:rFonts w:hint="eastAsia"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lang w:val="en-US" w:eastAsia="zh-CN"/>
              </w:rPr>
              <w:t>有组织颗粒物产生量为</w:t>
            </w:r>
            <w:r>
              <w:rPr>
                <w:rFonts w:hint="eastAsia" w:ascii="Times New Roman" w:hAnsi="Times New Roman" w:eastAsia="宋体" w:cs="Times New Roman"/>
                <w:color w:val="auto"/>
                <w:kern w:val="0"/>
                <w:sz w:val="24"/>
                <w:highlight w:val="none"/>
                <w:lang w:val="en-US" w:eastAsia="zh-CN"/>
              </w:rPr>
              <w:t>5.0925</w:t>
            </w:r>
            <w:r>
              <w:rPr>
                <w:rFonts w:hint="default" w:ascii="Times New Roman" w:hAnsi="Times New Roman" w:eastAsia="宋体" w:cs="Times New Roman"/>
                <w:color w:val="auto"/>
                <w:kern w:val="0"/>
                <w:sz w:val="24"/>
                <w:highlight w:val="none"/>
                <w:lang w:val="en-US" w:eastAsia="zh-CN"/>
              </w:rPr>
              <w:t>t/a</w:t>
            </w:r>
            <w:r>
              <w:rPr>
                <w:rFonts w:hint="eastAsia" w:ascii="Times New Roman" w:hAnsi="Times New Roman" w:eastAsia="宋体" w:cs="Times New Roman"/>
                <w:color w:val="auto"/>
                <w:kern w:val="0"/>
                <w:sz w:val="24"/>
                <w:highlight w:val="none"/>
                <w:lang w:val="en-US" w:eastAsia="zh-CN"/>
              </w:rPr>
              <w:t>，颗粒物有组织产生速率为2.8324</w:t>
            </w:r>
            <w:r>
              <w:rPr>
                <w:rFonts w:hint="default" w:ascii="Times New Roman" w:hAnsi="Times New Roman" w:eastAsia="宋体" w:cs="Times New Roman"/>
                <w:color w:val="auto"/>
                <w:kern w:val="0"/>
                <w:sz w:val="24"/>
                <w:highlight w:val="none"/>
                <w:lang w:val="en-US" w:eastAsia="zh-CN"/>
              </w:rPr>
              <w:t>kg/h</w:t>
            </w:r>
            <w:r>
              <w:rPr>
                <w:rFonts w:hint="eastAsia" w:ascii="Times New Roman" w:hAnsi="Times New Roman" w:eastAsia="宋体" w:cs="Times New Roman"/>
                <w:color w:val="auto"/>
                <w:kern w:val="0"/>
                <w:sz w:val="24"/>
                <w:highlight w:val="none"/>
                <w:lang w:val="en-US" w:eastAsia="zh-CN"/>
              </w:rPr>
              <w:t>，有组织排</w:t>
            </w:r>
            <w:r>
              <w:rPr>
                <w:rFonts w:hint="default" w:ascii="Times New Roman" w:hAnsi="Times New Roman" w:eastAsia="宋体" w:cs="Times New Roman"/>
                <w:color w:val="auto"/>
                <w:kern w:val="0"/>
                <w:sz w:val="24"/>
                <w:highlight w:val="none"/>
                <w:lang w:val="en-US" w:eastAsia="zh-CN"/>
              </w:rPr>
              <w:t>放量为</w:t>
            </w:r>
            <w:r>
              <w:rPr>
                <w:rFonts w:hint="eastAsia" w:ascii="Times New Roman" w:hAnsi="Times New Roman" w:eastAsia="宋体" w:cs="Times New Roman"/>
                <w:color w:val="auto"/>
                <w:kern w:val="0"/>
                <w:sz w:val="24"/>
                <w:highlight w:val="none"/>
                <w:lang w:val="en-US" w:eastAsia="zh-CN"/>
              </w:rPr>
              <w:t>0.254625</w:t>
            </w:r>
            <w:r>
              <w:rPr>
                <w:rFonts w:hint="default" w:ascii="Times New Roman" w:hAnsi="Times New Roman" w:eastAsia="宋体" w:cs="Times New Roman"/>
                <w:color w:val="auto"/>
                <w:kern w:val="0"/>
                <w:sz w:val="24"/>
                <w:highlight w:val="none"/>
                <w:lang w:val="en-US" w:eastAsia="zh-CN"/>
              </w:rPr>
              <w:t>/a</w:t>
            </w:r>
            <w:r>
              <w:rPr>
                <w:rFonts w:hint="eastAsia" w:ascii="Times New Roman" w:hAnsi="Times New Roman" w:eastAsia="宋体" w:cs="Times New Roman"/>
                <w:color w:val="auto"/>
                <w:kern w:val="0"/>
                <w:sz w:val="24"/>
                <w:highlight w:val="none"/>
                <w:lang w:val="en-US" w:eastAsia="zh-CN"/>
              </w:rPr>
              <w:t>，颗粒物有组织排放速率为</w:t>
            </w:r>
            <w:r>
              <w:rPr>
                <w:rFonts w:hint="default" w:ascii="Times New Roman" w:hAnsi="Times New Roman" w:eastAsia="宋体" w:cs="Times New Roman"/>
                <w:color w:val="auto"/>
                <w:kern w:val="0"/>
                <w:sz w:val="24"/>
                <w:highlight w:val="none"/>
                <w:lang w:val="en-US" w:eastAsia="zh-CN"/>
              </w:rPr>
              <w:t>0.</w:t>
            </w:r>
            <w:r>
              <w:rPr>
                <w:rFonts w:hint="eastAsia" w:ascii="Times New Roman" w:hAnsi="Times New Roman" w:eastAsia="宋体" w:cs="Times New Roman"/>
                <w:color w:val="auto"/>
                <w:kern w:val="0"/>
                <w:sz w:val="24"/>
                <w:highlight w:val="none"/>
                <w:lang w:val="en-US" w:eastAsia="zh-CN"/>
              </w:rPr>
              <w:t>14162</w:t>
            </w:r>
            <w:r>
              <w:rPr>
                <w:rFonts w:hint="default" w:ascii="Times New Roman" w:hAnsi="Times New Roman" w:eastAsia="宋体" w:cs="Times New Roman"/>
                <w:color w:val="auto"/>
                <w:kern w:val="0"/>
                <w:sz w:val="24"/>
                <w:highlight w:val="none"/>
                <w:lang w:val="en-US" w:eastAsia="zh-CN"/>
              </w:rPr>
              <w:t>kg/h。抛丸机除尘系统配套风机风量为</w:t>
            </w:r>
            <w:r>
              <w:rPr>
                <w:rFonts w:hint="eastAsia"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lang w:val="en-US" w:eastAsia="zh-CN"/>
              </w:rPr>
              <w:t>000m</w:t>
            </w:r>
            <w:r>
              <w:rPr>
                <w:rFonts w:hint="default" w:ascii="Times New Roman" w:hAnsi="Times New Roman" w:eastAsia="宋体"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/h</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则排气筒P5有组织产生浓度为566.48mg/m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lang w:val="en-US" w:eastAsia="zh-CN"/>
              </w:rPr>
              <w:t>，有组织排放浓度为28.3mg/m</w:t>
            </w:r>
            <w:r>
              <w:rPr>
                <w:rFonts w:hint="eastAsia" w:ascii="Times New Roman" w:hAnsi="Times New Roman" w:cs="Times New Roman"/>
                <w:color w:val="auto"/>
                <w:kern w:val="0"/>
                <w:sz w:val="24"/>
                <w:highlight w:val="none"/>
                <w:vertAlign w:val="superscript"/>
                <w:lang w:val="en-US" w:eastAsia="zh-CN"/>
              </w:rPr>
              <w:t>3</w:t>
            </w:r>
            <w:r>
              <w:rPr>
                <w:rFonts w:hint="eastAsia" w:ascii="Times New Roman" w:hAnsi="Times New Roman" w:cs="Times New Roman"/>
                <w:color w:val="auto"/>
                <w:kern w:val="0"/>
                <w:sz w:val="24"/>
                <w:highlight w:val="none"/>
                <w:vertAlign w:val="baseline"/>
                <w:lang w:val="en-US" w:eastAsia="zh-CN"/>
              </w:rPr>
              <w:t>。</w:t>
            </w:r>
            <w:r>
              <w:rPr>
                <w:rFonts w:hint="eastAsia" w:cs="Times New Roman"/>
                <w:color w:val="auto"/>
                <w:kern w:val="0"/>
                <w:sz w:val="24"/>
                <w:highlight w:val="none"/>
                <w:vertAlign w:val="baseline"/>
                <w:lang w:val="en-US" w:eastAsia="zh-CN"/>
              </w:rPr>
              <w:t>颗粒物无组织排放速率为0.0876kg/h。</w:t>
            </w:r>
          </w:p>
          <w:p>
            <w:pPr>
              <w:spacing w:line="360" w:lineRule="auto"/>
              <w:ind w:firstLine="480" w:firstLineChars="200"/>
              <w:rPr>
                <w:rFonts w:hint="eastAsia" w:cs="Times New Roman"/>
                <w:color w:val="auto"/>
                <w:highlight w:val="none"/>
                <w:lang w:eastAsia="zh-CN"/>
              </w:rPr>
            </w:pPr>
            <w:r>
              <w:rPr>
                <w:rFonts w:hint="eastAsia" w:cs="Times New Roman"/>
                <w:color w:val="auto"/>
                <w:kern w:val="0"/>
                <w:sz w:val="24"/>
                <w:highlight w:val="none"/>
                <w:lang w:val="en-US" w:eastAsia="zh-CN"/>
              </w:rPr>
              <w:t>综上，生产车间3颗粒物无组织排放源强为0.2154kg/h。</w:t>
            </w:r>
          </w:p>
          <w:p>
            <w:pPr>
              <w:numPr>
                <w:ilvl w:val="0"/>
                <w:numId w:val="0"/>
              </w:numPr>
              <w:spacing w:line="360" w:lineRule="auto"/>
              <w:ind w:firstLine="240" w:firstLineChars="100"/>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6）</w:t>
            </w:r>
            <w:r>
              <w:rPr>
                <w:rFonts w:hint="eastAsia" w:ascii="Times New Roman" w:hAnsi="Times New Roman" w:eastAsia="宋体" w:cs="Times New Roman"/>
                <w:color w:val="auto"/>
                <w:kern w:val="0"/>
                <w:sz w:val="24"/>
                <w:highlight w:val="none"/>
                <w:lang w:val="en-US" w:eastAsia="zh-CN"/>
              </w:rPr>
              <w:t>排气筒P6排放</w:t>
            </w:r>
            <w:r>
              <w:rPr>
                <w:rFonts w:hint="default" w:ascii="Times New Roman" w:hAnsi="Times New Roman" w:cs="Times New Roman"/>
                <w:color w:val="auto"/>
                <w:highlight w:val="none"/>
              </w:rPr>
              <w:t>挥发性有机物</w:t>
            </w:r>
            <w:r>
              <w:rPr>
                <w:rFonts w:hint="eastAsia" w:cs="Times New Roman"/>
                <w:color w:val="auto"/>
                <w:highlight w:val="none"/>
                <w:lang w:val="en-US" w:eastAsia="zh-CN"/>
              </w:rPr>
              <w:t>和异味</w:t>
            </w:r>
          </w:p>
          <w:p>
            <w:pPr>
              <w:spacing w:line="360" w:lineRule="auto"/>
              <w:ind w:firstLine="480" w:firstLineChars="200"/>
              <w:rPr>
                <w:rFonts w:hint="default" w:ascii="Times New Roman" w:hAnsi="Times New Roman" w:cs="Times New Roman"/>
                <w:color w:val="auto"/>
                <w:highlight w:val="none"/>
              </w:rPr>
            </w:pPr>
            <w:r>
              <w:rPr>
                <w:rFonts w:hint="eastAsia" w:cs="Times New Roman"/>
                <w:color w:val="auto"/>
                <w:highlight w:val="none"/>
                <w:lang w:val="en-US" w:eastAsia="zh-CN"/>
              </w:rPr>
              <w:t>①</w:t>
            </w:r>
            <w:r>
              <w:rPr>
                <w:rFonts w:hint="default" w:ascii="Times New Roman" w:hAnsi="Times New Roman" w:cs="Times New Roman"/>
                <w:color w:val="auto"/>
                <w:highlight w:val="none"/>
              </w:rPr>
              <w:t>涂装废气</w:t>
            </w:r>
          </w:p>
          <w:p>
            <w:pPr>
              <w:spacing w:line="360" w:lineRule="auto"/>
              <w:ind w:firstLine="480" w:firstLineChars="200"/>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根据企业提供的资料，本项目</w:t>
            </w:r>
            <w:r>
              <w:rPr>
                <w:rFonts w:hint="eastAsia" w:cs="Times New Roman"/>
                <w:color w:val="auto"/>
                <w:highlight w:val="none"/>
                <w:lang w:val="en-US" w:eastAsia="zh-CN"/>
              </w:rPr>
              <w:t>年</w:t>
            </w:r>
            <w:r>
              <w:rPr>
                <w:rFonts w:hint="default" w:ascii="Times New Roman" w:hAnsi="Times New Roman" w:cs="Times New Roman"/>
                <w:color w:val="auto"/>
                <w:highlight w:val="none"/>
              </w:rPr>
              <w:t>产钢垫板2000吨，年产钢</w:t>
            </w:r>
            <w:r>
              <w:rPr>
                <w:rFonts w:hint="eastAsia" w:cs="Times New Roman"/>
                <w:color w:val="auto"/>
                <w:highlight w:val="none"/>
                <w:lang w:val="en-US" w:eastAsia="zh-CN"/>
              </w:rPr>
              <w:t>结</w:t>
            </w:r>
            <w:r>
              <w:rPr>
                <w:rFonts w:hint="default" w:ascii="Times New Roman" w:hAnsi="Times New Roman" w:cs="Times New Roman"/>
                <w:color w:val="auto"/>
                <w:highlight w:val="none"/>
              </w:rPr>
              <w:t>构3000吨，每</w:t>
            </w:r>
            <w:r>
              <w:rPr>
                <w:rFonts w:hint="eastAsia" w:cs="Times New Roman"/>
                <w:color w:val="auto"/>
                <w:highlight w:val="none"/>
                <w:lang w:val="en-US" w:eastAsia="zh-CN"/>
              </w:rPr>
              <w:t>吨钢垫板</w:t>
            </w:r>
            <w:r>
              <w:rPr>
                <w:rFonts w:hint="default" w:ascii="Times New Roman" w:hAnsi="Times New Roman" w:cs="Times New Roman"/>
                <w:color w:val="auto"/>
                <w:highlight w:val="none"/>
              </w:rPr>
              <w:t>平均喷漆面积为30m</w:t>
            </w:r>
            <w:r>
              <w:rPr>
                <w:rFonts w:hint="default" w:ascii="Times New Roman" w:hAnsi="Times New Roman" w:cs="Times New Roman"/>
                <w:color w:val="auto"/>
                <w:highlight w:val="none"/>
                <w:vertAlign w:val="superscript"/>
              </w:rPr>
              <w:t>2</w:t>
            </w:r>
            <w:r>
              <w:rPr>
                <w:rFonts w:hint="eastAsia" w:cs="Times New Roman"/>
                <w:color w:val="auto"/>
                <w:highlight w:val="none"/>
                <w:vertAlign w:val="baseline"/>
                <w:lang w:eastAsia="zh-CN"/>
              </w:rPr>
              <w:t>，</w:t>
            </w:r>
            <w:r>
              <w:rPr>
                <w:rFonts w:hint="eastAsia" w:cs="Times New Roman"/>
                <w:color w:val="auto"/>
                <w:highlight w:val="none"/>
                <w:vertAlign w:val="baseline"/>
                <w:lang w:val="en-US" w:eastAsia="zh-CN"/>
              </w:rPr>
              <w:t>每吨钢结构</w:t>
            </w:r>
            <w:r>
              <w:rPr>
                <w:rFonts w:hint="default" w:ascii="Times New Roman" w:hAnsi="Times New Roman" w:cs="Times New Roman"/>
                <w:color w:val="auto"/>
                <w:highlight w:val="none"/>
              </w:rPr>
              <w:t>平均喷漆面积为30m</w:t>
            </w:r>
            <w:r>
              <w:rPr>
                <w:rFonts w:hint="default" w:ascii="Times New Roman" w:hAnsi="Times New Roman" w:cs="Times New Roman"/>
                <w:color w:val="auto"/>
                <w:highlight w:val="none"/>
                <w:vertAlign w:val="superscript"/>
              </w:rPr>
              <w:t>2</w:t>
            </w:r>
            <w:r>
              <w:rPr>
                <w:rFonts w:hint="eastAsia" w:ascii="Times New Roman" w:hAnsi="Times New Roman" w:cs="Times New Roman"/>
                <w:color w:val="auto"/>
                <w:highlight w:val="none"/>
                <w:vertAlign w:val="baseline"/>
                <w:lang w:eastAsia="zh-CN"/>
              </w:rPr>
              <w:t>，</w:t>
            </w:r>
            <w:r>
              <w:rPr>
                <w:rFonts w:hint="eastAsia" w:ascii="Times New Roman" w:hAnsi="Times New Roman" w:cs="Times New Roman"/>
                <w:color w:val="auto"/>
                <w:highlight w:val="none"/>
                <w:lang w:val="en-US" w:eastAsia="zh-CN"/>
              </w:rPr>
              <w:t>其中20%产品需要喷涂油性漆，80%产品需要喷涂水性漆。</w:t>
            </w:r>
          </w:p>
          <w:p>
            <w:pPr>
              <w:spacing w:line="360" w:lineRule="auto"/>
              <w:ind w:firstLine="480" w:firstLineChars="20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油性漆</w:t>
            </w:r>
            <w:r>
              <w:rPr>
                <w:rFonts w:hint="default" w:ascii="Times New Roman" w:hAnsi="Times New Roman" w:cs="Times New Roman"/>
                <w:color w:val="auto"/>
                <w:highlight w:val="none"/>
              </w:rPr>
              <w:t>喷涂面积经核算约为300</w:t>
            </w:r>
            <w:r>
              <w:rPr>
                <w:rFonts w:hint="eastAsia" w:cs="Times New Roman"/>
                <w:color w:val="auto"/>
                <w:highlight w:val="none"/>
                <w:lang w:val="en-US" w:eastAsia="zh-CN"/>
              </w:rPr>
              <w:t>0</w:t>
            </w:r>
            <w:r>
              <w:rPr>
                <w:rFonts w:hint="default" w:ascii="Times New Roman" w:hAnsi="Times New Roman" w:cs="Times New Roman"/>
                <w:color w:val="auto"/>
                <w:highlight w:val="none"/>
              </w:rPr>
              <w:t>0m</w:t>
            </w:r>
            <w:r>
              <w:rPr>
                <w:rFonts w:hint="default" w:ascii="Times New Roman" w:hAnsi="Times New Roman" w:cs="Times New Roman"/>
                <w:color w:val="auto"/>
                <w:highlight w:val="none"/>
                <w:vertAlign w:val="superscript"/>
              </w:rPr>
              <w:t>2</w:t>
            </w:r>
            <w:r>
              <w:rPr>
                <w:rFonts w:hint="eastAsia" w:cs="Times New Roman"/>
                <w:color w:val="auto"/>
                <w:highlight w:val="none"/>
                <w:vertAlign w:val="baseline"/>
                <w:lang w:eastAsia="zh-CN"/>
              </w:rPr>
              <w:t>，</w:t>
            </w:r>
            <w:r>
              <w:rPr>
                <w:rFonts w:hint="eastAsia" w:cs="Times New Roman"/>
                <w:color w:val="auto"/>
                <w:highlight w:val="none"/>
                <w:vertAlign w:val="baseline"/>
                <w:lang w:val="en-US" w:eastAsia="zh-CN"/>
              </w:rPr>
              <w:t>油性漆</w:t>
            </w:r>
            <w:r>
              <w:rPr>
                <w:rFonts w:hint="default" w:ascii="Times New Roman" w:hAnsi="Times New Roman" w:cs="Times New Roman"/>
                <w:color w:val="auto"/>
                <w:highlight w:val="none"/>
              </w:rPr>
              <w:t>需进行底漆、</w:t>
            </w:r>
            <w:r>
              <w:rPr>
                <w:rFonts w:hint="eastAsia" w:cs="Times New Roman"/>
                <w:color w:val="auto"/>
                <w:highlight w:val="none"/>
                <w:lang w:val="en-US" w:eastAsia="zh-CN"/>
              </w:rPr>
              <w:t>面漆</w:t>
            </w:r>
            <w:r>
              <w:rPr>
                <w:rFonts w:hint="default" w:ascii="Times New Roman" w:hAnsi="Times New Roman" w:cs="Times New Roman"/>
                <w:color w:val="auto"/>
                <w:highlight w:val="none"/>
              </w:rPr>
              <w:t>喷涂，底漆和</w:t>
            </w:r>
            <w:r>
              <w:rPr>
                <w:rFonts w:hint="eastAsia" w:cs="Times New Roman"/>
                <w:color w:val="auto"/>
                <w:highlight w:val="none"/>
                <w:lang w:val="en-US" w:eastAsia="zh-CN"/>
              </w:rPr>
              <w:t>面漆</w:t>
            </w:r>
            <w:r>
              <w:rPr>
                <w:rFonts w:hint="default" w:ascii="Times New Roman" w:hAnsi="Times New Roman" w:cs="Times New Roman"/>
                <w:color w:val="auto"/>
                <w:highlight w:val="none"/>
              </w:rPr>
              <w:t>各仅喷涂一遍，底漆漆膜厚度为50μm，</w:t>
            </w:r>
            <w:r>
              <w:rPr>
                <w:rFonts w:hint="eastAsia" w:cs="Times New Roman"/>
                <w:color w:val="auto"/>
                <w:highlight w:val="none"/>
                <w:lang w:val="en-US" w:eastAsia="zh-CN"/>
              </w:rPr>
              <w:t>面漆</w:t>
            </w:r>
            <w:r>
              <w:rPr>
                <w:rFonts w:hint="default" w:ascii="Times New Roman" w:hAnsi="Times New Roman" w:cs="Times New Roman"/>
                <w:color w:val="auto"/>
                <w:highlight w:val="none"/>
              </w:rPr>
              <w:t>漆膜厚度50μm，喷涂方式为高压无气喷涂，上漆率取70</w:t>
            </w:r>
            <w:r>
              <w:rPr>
                <w:rFonts w:hint="default" w:ascii="Times New Roman" w:hAnsi="Times New Roman" w:eastAsia="TimesNewRomanPSMT" w:cs="Times New Roman"/>
                <w:color w:val="auto"/>
                <w:highlight w:val="none"/>
              </w:rPr>
              <w:t>%</w:t>
            </w:r>
            <w:r>
              <w:rPr>
                <w:rFonts w:hint="default" w:ascii="Times New Roman" w:hAnsi="Times New Roman" w:cs="Times New Roman"/>
                <w:color w:val="auto"/>
                <w:highlight w:val="none"/>
              </w:rPr>
              <w:t>。</w:t>
            </w:r>
          </w:p>
          <w:p>
            <w:pPr>
              <w:spacing w:line="360" w:lineRule="auto"/>
              <w:ind w:firstLine="480" w:firstLineChars="200"/>
              <w:rPr>
                <w:rFonts w:hint="default"/>
                <w:color w:val="auto"/>
                <w:highlight w:val="none"/>
              </w:rPr>
            </w:pPr>
            <w:r>
              <w:rPr>
                <w:rFonts w:hint="eastAsia" w:ascii="Times New Roman" w:hAnsi="Times New Roman" w:cs="Times New Roman"/>
                <w:color w:val="auto"/>
                <w:highlight w:val="none"/>
                <w:lang w:val="en-US" w:eastAsia="zh-CN"/>
              </w:rPr>
              <w:t>水性漆</w:t>
            </w:r>
            <w:r>
              <w:rPr>
                <w:rFonts w:hint="default" w:ascii="Times New Roman" w:hAnsi="Times New Roman" w:cs="Times New Roman"/>
                <w:color w:val="auto"/>
                <w:highlight w:val="none"/>
              </w:rPr>
              <w:t>喷涂面积经核算约为</w:t>
            </w:r>
            <w:r>
              <w:rPr>
                <w:rFonts w:hint="eastAsia" w:ascii="Times New Roman" w:hAnsi="Times New Roman" w:cs="Times New Roman"/>
                <w:color w:val="auto"/>
                <w:highlight w:val="none"/>
                <w:lang w:val="en-US" w:eastAsia="zh-CN"/>
              </w:rPr>
              <w:t>12</w:t>
            </w:r>
            <w:r>
              <w:rPr>
                <w:rFonts w:hint="default" w:ascii="Times New Roman" w:hAnsi="Times New Roman" w:cs="Times New Roman"/>
                <w:color w:val="auto"/>
                <w:highlight w:val="none"/>
              </w:rPr>
              <w:t>0</w:t>
            </w:r>
            <w:r>
              <w:rPr>
                <w:rFonts w:hint="eastAsia" w:cs="Times New Roman"/>
                <w:color w:val="auto"/>
                <w:highlight w:val="none"/>
                <w:lang w:val="en-US" w:eastAsia="zh-CN"/>
              </w:rPr>
              <w:t>0</w:t>
            </w:r>
            <w:r>
              <w:rPr>
                <w:rFonts w:hint="default" w:ascii="Times New Roman" w:hAnsi="Times New Roman" w:cs="Times New Roman"/>
                <w:color w:val="auto"/>
                <w:highlight w:val="none"/>
              </w:rPr>
              <w:t>00m</w:t>
            </w:r>
            <w:r>
              <w:rPr>
                <w:rFonts w:hint="default" w:ascii="Times New Roman" w:hAnsi="Times New Roman" w:cs="Times New Roman"/>
                <w:color w:val="auto"/>
                <w:highlight w:val="none"/>
                <w:vertAlign w:val="superscript"/>
              </w:rPr>
              <w:t>2</w:t>
            </w:r>
            <w:r>
              <w:rPr>
                <w:rFonts w:hint="eastAsia" w:cs="Times New Roman"/>
                <w:color w:val="auto"/>
                <w:highlight w:val="none"/>
                <w:vertAlign w:val="baseline"/>
                <w:lang w:eastAsia="zh-CN"/>
              </w:rPr>
              <w:t>，</w:t>
            </w:r>
            <w:r>
              <w:rPr>
                <w:rFonts w:hint="eastAsia" w:cs="Times New Roman"/>
                <w:color w:val="auto"/>
                <w:highlight w:val="none"/>
                <w:vertAlign w:val="baseline"/>
                <w:lang w:val="en-US" w:eastAsia="zh-CN"/>
              </w:rPr>
              <w:t>油性漆</w:t>
            </w:r>
            <w:r>
              <w:rPr>
                <w:rFonts w:hint="default" w:ascii="Times New Roman" w:hAnsi="Times New Roman" w:cs="Times New Roman"/>
                <w:color w:val="auto"/>
                <w:highlight w:val="none"/>
              </w:rPr>
              <w:t>需进行底漆、</w:t>
            </w:r>
            <w:r>
              <w:rPr>
                <w:rFonts w:hint="eastAsia" w:ascii="Times New Roman" w:hAnsi="Times New Roman" w:cs="Times New Roman"/>
                <w:color w:val="auto"/>
                <w:highlight w:val="none"/>
                <w:lang w:val="en-US" w:eastAsia="zh-CN"/>
              </w:rPr>
              <w:t>面</w:t>
            </w:r>
            <w:r>
              <w:rPr>
                <w:rFonts w:hint="eastAsia" w:cs="Times New Roman"/>
                <w:color w:val="auto"/>
                <w:highlight w:val="none"/>
                <w:lang w:val="en-US" w:eastAsia="zh-CN"/>
              </w:rPr>
              <w:t>间漆</w:t>
            </w:r>
            <w:r>
              <w:rPr>
                <w:rFonts w:hint="default" w:ascii="Times New Roman" w:hAnsi="Times New Roman" w:cs="Times New Roman"/>
                <w:color w:val="auto"/>
                <w:highlight w:val="none"/>
              </w:rPr>
              <w:t>喷涂，底漆和</w:t>
            </w:r>
            <w:r>
              <w:rPr>
                <w:rFonts w:hint="eastAsia" w:ascii="Times New Roman" w:hAnsi="Times New Roman" w:cs="Times New Roman"/>
                <w:color w:val="auto"/>
                <w:highlight w:val="none"/>
                <w:lang w:val="en-US" w:eastAsia="zh-CN"/>
              </w:rPr>
              <w:t>面</w:t>
            </w:r>
            <w:r>
              <w:rPr>
                <w:rFonts w:hint="eastAsia" w:cs="Times New Roman"/>
                <w:color w:val="auto"/>
                <w:highlight w:val="none"/>
                <w:lang w:val="en-US" w:eastAsia="zh-CN"/>
              </w:rPr>
              <w:t>漆</w:t>
            </w:r>
            <w:r>
              <w:rPr>
                <w:rFonts w:hint="default" w:ascii="Times New Roman" w:hAnsi="Times New Roman" w:cs="Times New Roman"/>
                <w:color w:val="auto"/>
                <w:highlight w:val="none"/>
              </w:rPr>
              <w:t>各仅喷涂一遍，底漆漆膜厚度为50μm，</w:t>
            </w:r>
            <w:r>
              <w:rPr>
                <w:rFonts w:hint="eastAsia" w:ascii="Times New Roman" w:hAnsi="Times New Roman" w:cs="Times New Roman"/>
                <w:color w:val="auto"/>
                <w:highlight w:val="none"/>
                <w:lang w:val="en-US" w:eastAsia="zh-CN"/>
              </w:rPr>
              <w:t>面</w:t>
            </w:r>
            <w:r>
              <w:rPr>
                <w:rFonts w:hint="default" w:ascii="Times New Roman" w:hAnsi="Times New Roman" w:cs="Times New Roman"/>
                <w:color w:val="auto"/>
                <w:highlight w:val="none"/>
              </w:rPr>
              <w:t>漆漆膜厚度50μm，喷涂方式为高压无气喷涂，上漆率取70</w:t>
            </w:r>
            <w:r>
              <w:rPr>
                <w:rFonts w:hint="default" w:ascii="Times New Roman" w:hAnsi="Times New Roman" w:eastAsia="TimesNewRomanPSMT" w:cs="Times New Roman"/>
                <w:color w:val="auto"/>
                <w:highlight w:val="none"/>
              </w:rPr>
              <w:t>%</w:t>
            </w:r>
            <w:r>
              <w:rPr>
                <w:rFonts w:hint="default" w:ascii="Times New Roman" w:hAnsi="Times New Roman" w:cs="Times New Roman"/>
                <w:color w:val="auto"/>
                <w:highlight w:val="none"/>
              </w:rPr>
              <w:t>。</w:t>
            </w:r>
          </w:p>
          <w:p>
            <w:pPr>
              <w:spacing w:line="360" w:lineRule="auto"/>
              <w:ind w:firstLine="480" w:firstLineChars="200"/>
              <w:rPr>
                <w:rFonts w:hint="default" w:ascii="Times New Roman" w:hAnsi="Times New Roman" w:cs="Times New Roman"/>
                <w:color w:val="auto"/>
                <w:highlight w:val="none"/>
              </w:rPr>
            </w:pPr>
            <w:r>
              <w:rPr>
                <w:rFonts w:hint="eastAsia" w:cs="Times New Roman"/>
                <w:color w:val="auto"/>
                <w:highlight w:val="none"/>
                <w:lang w:val="en-US" w:eastAsia="zh-CN"/>
              </w:rPr>
              <w:t>参照《涂装技术使用手册》（叶扬详主编，机械工业出版社出版）中的漆料用量计算公式：</w:t>
            </w:r>
          </w:p>
          <w:p>
            <w:pPr>
              <w:spacing w:line="36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m=ρδs×10</w:t>
            </w:r>
            <w:r>
              <w:rPr>
                <w:rFonts w:hint="default" w:ascii="Times New Roman" w:hAnsi="Times New Roman" w:cs="Times New Roman"/>
                <w:color w:val="auto"/>
                <w:highlight w:val="none"/>
                <w:vertAlign w:val="superscript"/>
              </w:rPr>
              <w:t>-6</w:t>
            </w:r>
            <w:r>
              <w:rPr>
                <w:rFonts w:hint="default" w:ascii="Times New Roman" w:hAnsi="Times New Roman" w:cs="Times New Roman"/>
                <w:color w:val="auto"/>
                <w:highlight w:val="none"/>
              </w:rPr>
              <w:t>/（η·NV·ε）</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其中：m—总油漆用量（t）；</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ρ—该涂料密度，单位：g/cm³；</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δ—涂层厚度（干膜厚度）（μm）；</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s—涂装面积（m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/总车）；</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η—该涂料所占总涂料比例（%），均取100%；</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NV—该涂料的固体份（%）；</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ε—上漆率（%）；</w:t>
            </w:r>
          </w:p>
          <w:p>
            <w:pPr>
              <w:spacing w:line="360" w:lineRule="auto"/>
              <w:ind w:firstLine="480" w:firstLineChars="200"/>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color w:val="auto"/>
                <w:highlight w:val="none"/>
              </w:rPr>
              <w:t xml:space="preserve"> 下表</w:t>
            </w:r>
            <w:r>
              <w:rPr>
                <w:rFonts w:hint="eastAsia" w:cs="Times New Roman"/>
                <w:color w:val="auto"/>
                <w:highlight w:val="none"/>
                <w:lang w:val="en-US" w:eastAsia="zh-CN"/>
              </w:rPr>
              <w:t>漆料</w:t>
            </w:r>
            <w:r>
              <w:rPr>
                <w:rFonts w:hint="default" w:ascii="Times New Roman" w:hAnsi="Times New Roman" w:cs="Times New Roman"/>
                <w:color w:val="auto"/>
                <w:highlight w:val="none"/>
              </w:rPr>
              <w:t>均为调配后的工作漆，漆用量核算情况如下表所示。</w:t>
            </w:r>
          </w:p>
          <w:p>
            <w:pPr>
              <w:pStyle w:val="92"/>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表 4-2</w:t>
            </w:r>
            <w:r>
              <w:rPr>
                <w:rFonts w:hint="eastAsia" w:cs="Times New Roman" w:eastAsiaTheme="minorEastAsia"/>
                <w:b/>
                <w:color w:val="auto"/>
                <w:sz w:val="21"/>
                <w:szCs w:val="21"/>
                <w:highlight w:val="none"/>
                <w:lang w:val="en-US" w:eastAsia="zh-CN"/>
              </w:rPr>
              <w:t>喷漆房油性漆</w:t>
            </w:r>
            <w:r>
              <w:rPr>
                <w:rFonts w:hint="default" w:ascii="Times New Roman" w:hAnsi="Times New Roman" w:cs="Times New Roman" w:eastAsiaTheme="minorEastAsia"/>
                <w:b/>
                <w:color w:val="auto"/>
                <w:sz w:val="21"/>
                <w:szCs w:val="21"/>
                <w:highlight w:val="none"/>
              </w:rPr>
              <w:t>用漆量核算一览表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33"/>
              <w:gridCol w:w="1135"/>
              <w:gridCol w:w="1156"/>
              <w:gridCol w:w="1210"/>
              <w:gridCol w:w="1116"/>
              <w:gridCol w:w="818"/>
              <w:gridCol w:w="1030"/>
              <w:gridCol w:w="1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9"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喷涂位置</w:t>
                  </w:r>
                </w:p>
              </w:tc>
              <w:tc>
                <w:tcPr>
                  <w:tcW w:w="625"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漆种类</w:t>
                  </w:r>
                </w:p>
              </w:tc>
              <w:tc>
                <w:tcPr>
                  <w:tcW w:w="63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喷漆面积</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p>
              </w:tc>
              <w:tc>
                <w:tcPr>
                  <w:tcW w:w="66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漆膜厚度（μm）</w:t>
                  </w:r>
                </w:p>
              </w:tc>
              <w:tc>
                <w:tcPr>
                  <w:tcW w:w="614" w:type="pct"/>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涂料</w:t>
                  </w:r>
                  <w:r>
                    <w:rPr>
                      <w:rFonts w:hint="default" w:ascii="Times New Roman" w:hAnsi="Times New Roman" w:cs="Times New Roman"/>
                      <w:color w:val="auto"/>
                      <w:sz w:val="21"/>
                      <w:szCs w:val="21"/>
                      <w:highlight w:val="none"/>
                    </w:rPr>
                    <w:t>密度</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（kg/L）</w:t>
                  </w:r>
                </w:p>
              </w:tc>
              <w:tc>
                <w:tcPr>
                  <w:tcW w:w="450"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上漆率</w:t>
                  </w:r>
                </w:p>
              </w:tc>
              <w:tc>
                <w:tcPr>
                  <w:tcW w:w="564" w:type="pct"/>
                  <w:vAlign w:val="center"/>
                </w:tcPr>
                <w:p>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固体份</w:t>
                  </w:r>
                </w:p>
              </w:tc>
              <w:tc>
                <w:tcPr>
                  <w:tcW w:w="76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工作漆用漆量</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79" w:type="pct"/>
                  <w:vMerge w:val="restar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伸缩式喷漆房</w:t>
                  </w:r>
                </w:p>
              </w:tc>
              <w:tc>
                <w:tcPr>
                  <w:tcW w:w="625"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环氧有机富锌底漆</w:t>
                  </w:r>
                </w:p>
              </w:tc>
              <w:tc>
                <w:tcPr>
                  <w:tcW w:w="636"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3000</w:t>
                  </w:r>
                  <w:r>
                    <w:rPr>
                      <w:rFonts w:hint="eastAsia" w:ascii="Times New Roman" w:hAnsi="Times New Roman" w:eastAsia="宋体" w:cs="Times New Roman"/>
                      <w:color w:val="auto"/>
                      <w:sz w:val="21"/>
                      <w:szCs w:val="21"/>
                      <w:highlight w:val="none"/>
                      <w:lang w:val="en-US" w:eastAsia="zh-CN"/>
                    </w:rPr>
                    <w:t>0</w:t>
                  </w:r>
                </w:p>
              </w:tc>
              <w:tc>
                <w:tcPr>
                  <w:tcW w:w="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614"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w:t>
                  </w:r>
                  <w:r>
                    <w:rPr>
                      <w:rFonts w:hint="eastAsia" w:ascii="Times New Roman" w:hAnsi="Times New Roman" w:eastAsia="宋体" w:cs="Times New Roman"/>
                      <w:color w:val="auto"/>
                      <w:sz w:val="21"/>
                      <w:szCs w:val="21"/>
                      <w:highlight w:val="none"/>
                      <w:lang w:val="en-US" w:eastAsia="zh-CN"/>
                    </w:rPr>
                    <w:t>26</w:t>
                  </w:r>
                </w:p>
              </w:tc>
              <w:tc>
                <w:tcPr>
                  <w:tcW w:w="450" w:type="pct"/>
                  <w:vMerge w:val="restar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564"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ascii="Times New Roman" w:hAnsi="Times New Roman" w:cs="Times New Roman"/>
                      <w:color w:val="auto"/>
                      <w:sz w:val="21"/>
                      <w:szCs w:val="21"/>
                      <w:highlight w:val="none"/>
                    </w:rPr>
                    <w:t>64.5</w:t>
                  </w:r>
                  <w:r>
                    <w:rPr>
                      <w:rFonts w:hint="eastAsia" w:ascii="Times New Roman" w:hAnsi="Times New Roman" w:cs="Times New Roman"/>
                      <w:color w:val="auto"/>
                      <w:sz w:val="21"/>
                      <w:szCs w:val="21"/>
                      <w:highlight w:val="none"/>
                      <w:lang w:val="en-US" w:eastAsia="zh-CN"/>
                    </w:rPr>
                    <w:t>%</w:t>
                  </w:r>
                </w:p>
              </w:tc>
              <w:tc>
                <w:tcPr>
                  <w:tcW w:w="762"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79" w:type="pct"/>
                  <w:vMerge w:val="continue"/>
                  <w:vAlign w:val="center"/>
                </w:tcPr>
                <w:p>
                  <w:pPr>
                    <w:jc w:val="center"/>
                    <w:rPr>
                      <w:rFonts w:hint="default" w:ascii="Times New Roman" w:hAnsi="Times New Roman" w:cs="Times New Roman"/>
                      <w:color w:val="auto"/>
                      <w:sz w:val="21"/>
                      <w:szCs w:val="21"/>
                      <w:highlight w:val="none"/>
                    </w:rPr>
                  </w:pPr>
                </w:p>
              </w:tc>
              <w:tc>
                <w:tcPr>
                  <w:tcW w:w="625"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环氧云母氧化铁漆（</w:t>
                  </w:r>
                  <w:r>
                    <w:rPr>
                      <w:rFonts w:hint="eastAsia" w:cs="Times New Roman"/>
                      <w:color w:val="auto"/>
                      <w:sz w:val="21"/>
                      <w:szCs w:val="21"/>
                      <w:highlight w:val="none"/>
                      <w:lang w:eastAsia="zh-CN"/>
                    </w:rPr>
                    <w:t>面漆</w:t>
                  </w:r>
                  <w:r>
                    <w:rPr>
                      <w:rFonts w:hint="default" w:ascii="Times New Roman" w:hAnsi="Times New Roman" w:eastAsia="宋体" w:cs="Times New Roman"/>
                      <w:color w:val="auto"/>
                      <w:sz w:val="21"/>
                      <w:szCs w:val="21"/>
                      <w:highlight w:val="none"/>
                    </w:rPr>
                    <w:t>）</w:t>
                  </w:r>
                </w:p>
              </w:tc>
              <w:tc>
                <w:tcPr>
                  <w:tcW w:w="636"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3000</w:t>
                  </w:r>
                  <w:r>
                    <w:rPr>
                      <w:rFonts w:hint="eastAsia" w:ascii="Times New Roman" w:hAnsi="Times New Roman" w:eastAsia="宋体" w:cs="Times New Roman"/>
                      <w:color w:val="auto"/>
                      <w:sz w:val="21"/>
                      <w:szCs w:val="21"/>
                      <w:highlight w:val="none"/>
                      <w:lang w:val="en-US" w:eastAsia="zh-CN"/>
                    </w:rPr>
                    <w:t>0</w:t>
                  </w:r>
                </w:p>
              </w:tc>
              <w:tc>
                <w:tcPr>
                  <w:tcW w:w="666" w:type="pct"/>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614"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1.4</w:t>
                  </w:r>
                  <w:r>
                    <w:rPr>
                      <w:rFonts w:hint="eastAsia" w:ascii="Times New Roman" w:hAnsi="Times New Roman" w:eastAsia="宋体" w:cs="Times New Roman"/>
                      <w:color w:val="auto"/>
                      <w:sz w:val="21"/>
                      <w:szCs w:val="21"/>
                      <w:highlight w:val="none"/>
                      <w:lang w:val="en-US" w:eastAsia="zh-CN"/>
                    </w:rPr>
                    <w:t>1</w:t>
                  </w:r>
                </w:p>
              </w:tc>
              <w:tc>
                <w:tcPr>
                  <w:tcW w:w="450" w:type="pct"/>
                  <w:vMerge w:val="continue"/>
                  <w:vAlign w:val="center"/>
                </w:tcPr>
                <w:p>
                  <w:pPr>
                    <w:jc w:val="center"/>
                    <w:rPr>
                      <w:rFonts w:hint="default" w:ascii="Times New Roman" w:hAnsi="Times New Roman" w:eastAsia="宋体" w:cs="Times New Roman"/>
                      <w:color w:val="auto"/>
                      <w:sz w:val="21"/>
                      <w:szCs w:val="21"/>
                      <w:highlight w:val="none"/>
                    </w:rPr>
                  </w:pPr>
                </w:p>
              </w:tc>
              <w:tc>
                <w:tcPr>
                  <w:tcW w:w="564"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69.3</w:t>
                  </w:r>
                  <w:r>
                    <w:rPr>
                      <w:rFonts w:hint="eastAsia" w:ascii="Times New Roman" w:hAnsi="Times New Roman" w:cs="Times New Roman"/>
                      <w:color w:val="auto"/>
                      <w:sz w:val="21"/>
                      <w:szCs w:val="21"/>
                      <w:highlight w:val="none"/>
                      <w:lang w:val="en-US" w:eastAsia="zh-CN"/>
                    </w:rPr>
                    <w:t>%</w:t>
                  </w:r>
                </w:p>
              </w:tc>
              <w:tc>
                <w:tcPr>
                  <w:tcW w:w="762"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r>
                    <w:rPr>
                      <w:rFonts w:hint="eastAsia" w:cs="Times New Roman"/>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37" w:type="pct"/>
                  <w:gridSpan w:val="7"/>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合计油性漆总用量（理论值）</w:t>
                  </w:r>
                </w:p>
              </w:tc>
              <w:tc>
                <w:tcPr>
                  <w:tcW w:w="762"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r>
          </w:tbl>
          <w:p>
            <w:pPr>
              <w:pStyle w:val="92"/>
              <w:ind w:firstLine="0" w:firstLineChars="0"/>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表 4-</w:t>
            </w:r>
            <w:r>
              <w:rPr>
                <w:rFonts w:hint="eastAsia" w:ascii="Times New Roman" w:hAnsi="Times New Roman" w:cs="Times New Roman" w:eastAsiaTheme="minorEastAsia"/>
                <w:b/>
                <w:color w:val="auto"/>
                <w:sz w:val="21"/>
                <w:szCs w:val="21"/>
                <w:highlight w:val="none"/>
                <w:lang w:val="en-US" w:eastAsia="zh-CN"/>
              </w:rPr>
              <w:t>3</w:t>
            </w:r>
            <w:r>
              <w:rPr>
                <w:rFonts w:hint="eastAsia" w:cs="Times New Roman" w:eastAsiaTheme="minorEastAsia"/>
                <w:b/>
                <w:color w:val="auto"/>
                <w:sz w:val="21"/>
                <w:szCs w:val="21"/>
                <w:highlight w:val="none"/>
                <w:lang w:val="en-US" w:eastAsia="zh-CN"/>
              </w:rPr>
              <w:t>喷漆房水性漆</w:t>
            </w:r>
            <w:r>
              <w:rPr>
                <w:rFonts w:hint="default" w:ascii="Times New Roman" w:hAnsi="Times New Roman" w:cs="Times New Roman" w:eastAsiaTheme="minorEastAsia"/>
                <w:b/>
                <w:color w:val="auto"/>
                <w:sz w:val="21"/>
                <w:szCs w:val="21"/>
                <w:highlight w:val="none"/>
              </w:rPr>
              <w:t>用漆量核算一览表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34"/>
              <w:gridCol w:w="1139"/>
              <w:gridCol w:w="1158"/>
              <w:gridCol w:w="1208"/>
              <w:gridCol w:w="1116"/>
              <w:gridCol w:w="821"/>
              <w:gridCol w:w="1423"/>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79"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喷涂位置</w:t>
                  </w:r>
                </w:p>
              </w:tc>
              <w:tc>
                <w:tcPr>
                  <w:tcW w:w="62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漆种类</w:t>
                  </w:r>
                </w:p>
              </w:tc>
              <w:tc>
                <w:tcPr>
                  <w:tcW w:w="63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喷漆面积</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p>
              </w:tc>
              <w:tc>
                <w:tcPr>
                  <w:tcW w:w="665"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漆膜厚度（μm）</w:t>
                  </w:r>
                </w:p>
              </w:tc>
              <w:tc>
                <w:tcPr>
                  <w:tcW w:w="61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涂料</w:t>
                  </w:r>
                  <w:r>
                    <w:rPr>
                      <w:rFonts w:hint="default" w:ascii="Times New Roman" w:hAnsi="Times New Roman" w:cs="Times New Roman"/>
                      <w:color w:val="auto"/>
                      <w:sz w:val="21"/>
                      <w:szCs w:val="21"/>
                      <w:highlight w:val="none"/>
                    </w:rPr>
                    <w:t>密度</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（kg/L）</w:t>
                  </w:r>
                </w:p>
              </w:tc>
              <w:tc>
                <w:tcPr>
                  <w:tcW w:w="45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上漆率</w:t>
                  </w:r>
                </w:p>
              </w:tc>
              <w:tc>
                <w:tcPr>
                  <w:tcW w:w="7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体积固体份</w:t>
                  </w:r>
                </w:p>
              </w:tc>
              <w:tc>
                <w:tcPr>
                  <w:tcW w:w="54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工作漆用漆量</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79"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伸缩式喷漆房</w:t>
                  </w:r>
                </w:p>
              </w:tc>
              <w:tc>
                <w:tcPr>
                  <w:tcW w:w="627" w:type="pct"/>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bidi="ar"/>
                    </w:rPr>
                    <w:t>水性</w:t>
                  </w:r>
                  <w:r>
                    <w:rPr>
                      <w:rFonts w:hint="default" w:ascii="Times New Roman" w:hAnsi="Times New Roman" w:cs="Times New Roman"/>
                      <w:color w:val="auto"/>
                      <w:sz w:val="21"/>
                      <w:szCs w:val="21"/>
                      <w:highlight w:val="none"/>
                      <w:lang w:bidi="ar"/>
                    </w:rPr>
                    <w:t>环氧富锌漆工作漆（</w:t>
                  </w:r>
                  <w:r>
                    <w:rPr>
                      <w:rFonts w:hint="eastAsia" w:ascii="Times New Roman" w:hAnsi="Times New Roman" w:cs="Times New Roman"/>
                      <w:color w:val="auto"/>
                      <w:sz w:val="21"/>
                      <w:szCs w:val="21"/>
                      <w:highlight w:val="none"/>
                      <w:lang w:val="en-US" w:eastAsia="zh-CN" w:bidi="ar"/>
                    </w:rPr>
                    <w:t>底漆</w:t>
                  </w:r>
                  <w:r>
                    <w:rPr>
                      <w:rFonts w:hint="default" w:ascii="Times New Roman" w:hAnsi="Times New Roman" w:cs="Times New Roman"/>
                      <w:color w:val="auto"/>
                      <w:sz w:val="21"/>
                      <w:szCs w:val="21"/>
                      <w:highlight w:val="none"/>
                      <w:lang w:bidi="ar"/>
                    </w:rPr>
                    <w:t>）</w:t>
                  </w:r>
                </w:p>
              </w:tc>
              <w:tc>
                <w:tcPr>
                  <w:tcW w:w="63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000</w:t>
                  </w:r>
                  <w:r>
                    <w:rPr>
                      <w:rFonts w:hint="eastAsia" w:ascii="Times New Roman" w:hAnsi="Times New Roman" w:cs="Times New Roman"/>
                      <w:color w:val="auto"/>
                      <w:sz w:val="21"/>
                      <w:szCs w:val="21"/>
                      <w:highlight w:val="none"/>
                      <w:lang w:val="en-US" w:eastAsia="zh-CN"/>
                    </w:rPr>
                    <w:t>0</w:t>
                  </w:r>
                </w:p>
              </w:tc>
              <w:tc>
                <w:tcPr>
                  <w:tcW w:w="665"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61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452" w:type="pct"/>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7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.5%</w:t>
                  </w:r>
                </w:p>
              </w:tc>
              <w:tc>
                <w:tcPr>
                  <w:tcW w:w="54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79"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627" w:type="pct"/>
                  <w:vAlign w:val="center"/>
                </w:tcPr>
                <w:p>
                  <w:pPr>
                    <w:pStyle w:val="25"/>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bidi="ar"/>
                    </w:rPr>
                    <w:t>水性</w:t>
                  </w:r>
                  <w:r>
                    <w:rPr>
                      <w:rFonts w:hint="default" w:ascii="Times New Roman" w:hAnsi="Times New Roman" w:cs="Times New Roman"/>
                      <w:color w:val="auto"/>
                      <w:sz w:val="21"/>
                      <w:szCs w:val="21"/>
                      <w:highlight w:val="none"/>
                      <w:lang w:bidi="ar"/>
                    </w:rPr>
                    <w:t>环氧富锌漆工作漆（</w:t>
                  </w:r>
                  <w:r>
                    <w:rPr>
                      <w:rFonts w:hint="eastAsia" w:ascii="Times New Roman" w:hAnsi="Times New Roman" w:cs="Times New Roman"/>
                      <w:color w:val="auto"/>
                      <w:sz w:val="21"/>
                      <w:szCs w:val="21"/>
                      <w:highlight w:val="none"/>
                      <w:lang w:val="en-US" w:eastAsia="zh-CN" w:bidi="ar"/>
                    </w:rPr>
                    <w:t>面漆</w:t>
                  </w:r>
                  <w:r>
                    <w:rPr>
                      <w:rFonts w:hint="default" w:ascii="Times New Roman" w:hAnsi="Times New Roman" w:cs="Times New Roman"/>
                      <w:color w:val="auto"/>
                      <w:sz w:val="21"/>
                      <w:szCs w:val="21"/>
                      <w:highlight w:val="none"/>
                      <w:lang w:bidi="ar"/>
                    </w:rPr>
                    <w:t>）</w:t>
                  </w:r>
                </w:p>
              </w:tc>
              <w:tc>
                <w:tcPr>
                  <w:tcW w:w="637"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000</w:t>
                  </w:r>
                  <w:r>
                    <w:rPr>
                      <w:rFonts w:hint="eastAsia" w:ascii="Times New Roman" w:hAnsi="Times New Roman" w:cs="Times New Roman"/>
                      <w:color w:val="auto"/>
                      <w:sz w:val="21"/>
                      <w:szCs w:val="21"/>
                      <w:highlight w:val="none"/>
                      <w:lang w:val="en-US" w:eastAsia="zh-CN"/>
                    </w:rPr>
                    <w:t>0</w:t>
                  </w:r>
                </w:p>
              </w:tc>
              <w:tc>
                <w:tcPr>
                  <w:tcW w:w="665"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w:t>
                  </w:r>
                </w:p>
              </w:tc>
              <w:tc>
                <w:tcPr>
                  <w:tcW w:w="614"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3</w:t>
                  </w:r>
                </w:p>
              </w:tc>
              <w:tc>
                <w:tcPr>
                  <w:tcW w:w="452" w:type="pct"/>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p>
              </w:tc>
              <w:tc>
                <w:tcPr>
                  <w:tcW w:w="780"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.5%</w:t>
                  </w:r>
                </w:p>
              </w:tc>
              <w:tc>
                <w:tcPr>
                  <w:tcW w:w="54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457" w:type="pct"/>
                  <w:gridSpan w:val="7"/>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r>
                    <w:rPr>
                      <w:rFonts w:hint="eastAsia" w:cs="Times New Roman"/>
                      <w:color w:val="auto"/>
                      <w:sz w:val="21"/>
                      <w:szCs w:val="21"/>
                      <w:highlight w:val="none"/>
                      <w:lang w:val="en-US" w:eastAsia="zh-CN"/>
                    </w:rPr>
                    <w:t>水性</w:t>
                  </w:r>
                  <w:r>
                    <w:rPr>
                      <w:rFonts w:hint="default" w:ascii="Times New Roman" w:hAnsi="Times New Roman" w:cs="Times New Roman"/>
                      <w:color w:val="auto"/>
                      <w:sz w:val="21"/>
                      <w:szCs w:val="21"/>
                      <w:highlight w:val="none"/>
                    </w:rPr>
                    <w:t>漆总用量（理论值）</w:t>
                  </w:r>
                </w:p>
              </w:tc>
              <w:tc>
                <w:tcPr>
                  <w:tcW w:w="542" w:type="pc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w:t>
                  </w:r>
                </w:p>
              </w:tc>
            </w:tr>
          </w:tbl>
          <w:p>
            <w:pPr>
              <w:keepNext w:val="0"/>
              <w:keepLines w:val="0"/>
              <w:suppressLineNumbers w:val="0"/>
              <w:spacing w:before="0" w:beforeAutospacing="0" w:after="0" w:afterAutospacing="0" w:line="360" w:lineRule="auto"/>
              <w:ind w:left="0" w:right="0"/>
              <w:rPr>
                <w:rFonts w:hint="eastAsia" w:ascii="Times New Roman" w:hAnsi="Times New Roman" w:eastAsia="宋体" w:cs="Times New Roman"/>
                <w:b/>
                <w:bCs w:val="0"/>
                <w:color w:val="auto"/>
                <w:sz w:val="21"/>
                <w:szCs w:val="21"/>
                <w:highlight w:val="none"/>
                <w:lang w:eastAsia="zh-CN"/>
              </w:rPr>
            </w:pPr>
            <w:r>
              <w:rPr>
                <w:rFonts w:hint="default" w:ascii="Times New Roman" w:hAnsi="Times New Roman" w:cs="Times New Roman"/>
                <w:b/>
                <w:bCs w:val="0"/>
                <w:color w:val="auto"/>
                <w:sz w:val="21"/>
                <w:szCs w:val="21"/>
                <w:highlight w:val="none"/>
                <w:lang w:bidi="ar"/>
              </w:rPr>
              <w:t>注：根据建设单位提供资料，工作漆中各组分比例为：水性环氧富锌漆与水配比：10:1。则水性漆使用量约为</w:t>
            </w:r>
            <w:r>
              <w:rPr>
                <w:rFonts w:hint="eastAsia" w:cs="Times New Roman"/>
                <w:b/>
                <w:bCs w:val="0"/>
                <w:color w:val="auto"/>
                <w:sz w:val="21"/>
                <w:szCs w:val="21"/>
                <w:highlight w:val="none"/>
                <w:lang w:val="en-US" w:eastAsia="zh-CN" w:bidi="ar"/>
              </w:rPr>
              <w:t>27.3</w:t>
            </w:r>
            <w:r>
              <w:rPr>
                <w:rFonts w:hint="default" w:ascii="Times New Roman" w:hAnsi="Times New Roman" w:cs="Times New Roman"/>
                <w:b/>
                <w:bCs w:val="0"/>
                <w:color w:val="auto"/>
                <w:sz w:val="21"/>
                <w:szCs w:val="21"/>
                <w:highlight w:val="none"/>
                <w:lang w:bidi="ar"/>
              </w:rPr>
              <w:t>吨，水使用量约为</w:t>
            </w:r>
            <w:r>
              <w:rPr>
                <w:rFonts w:hint="eastAsia" w:cs="Times New Roman"/>
                <w:b/>
                <w:bCs w:val="0"/>
                <w:color w:val="auto"/>
                <w:sz w:val="21"/>
                <w:szCs w:val="21"/>
                <w:highlight w:val="none"/>
                <w:lang w:val="en-US" w:eastAsia="zh-CN" w:bidi="ar"/>
              </w:rPr>
              <w:t>2.7</w:t>
            </w:r>
            <w:r>
              <w:rPr>
                <w:rFonts w:hint="default" w:ascii="Times New Roman" w:hAnsi="Times New Roman" w:cs="Times New Roman"/>
                <w:b/>
                <w:bCs w:val="0"/>
                <w:color w:val="auto"/>
                <w:sz w:val="21"/>
                <w:szCs w:val="21"/>
                <w:highlight w:val="none"/>
                <w:lang w:bidi="ar"/>
              </w:rPr>
              <w:t>吨</w:t>
            </w:r>
            <w:r>
              <w:rPr>
                <w:rFonts w:hint="eastAsia" w:cs="Times New Roman"/>
                <w:b/>
                <w:bCs w:val="0"/>
                <w:color w:val="auto"/>
                <w:sz w:val="21"/>
                <w:szCs w:val="21"/>
                <w:highlight w:val="none"/>
                <w:lang w:eastAsia="zh-CN" w:bidi="ar"/>
              </w:rPr>
              <w:t>。</w:t>
            </w:r>
          </w:p>
          <w:p>
            <w:pPr>
              <w:spacing w:line="360" w:lineRule="auto"/>
              <w:ind w:firstLine="480" w:firstLineChars="200"/>
              <w:rPr>
                <w:rFonts w:hint="default" w:ascii="Times New Roman" w:hAnsi="Times New Roman" w:eastAsia="宋体" w:cs="Times New Roman"/>
                <w:color w:val="auto"/>
                <w:szCs w:val="21"/>
                <w:highlight w:val="none"/>
              </w:rPr>
            </w:pPr>
            <w:r>
              <w:rPr>
                <w:rFonts w:hint="default" w:ascii="Times New Roman" w:hAnsi="Times New Roman" w:cs="Times New Roman"/>
                <w:color w:val="auto"/>
                <w:kern w:val="24"/>
                <w:sz w:val="24"/>
                <w:szCs w:val="24"/>
                <w:highlight w:val="none"/>
              </w:rPr>
              <w:t>根据建设单位提供资料，</w:t>
            </w:r>
            <w:r>
              <w:rPr>
                <w:rFonts w:ascii="Times New Roman" w:hAnsi="Times New Roman" w:cs="Times New Roman"/>
                <w:color w:val="auto"/>
                <w:sz w:val="24"/>
                <w:szCs w:val="24"/>
                <w:highlight w:val="none"/>
              </w:rPr>
              <w:t>环氧有机富锌底漆</w:t>
            </w:r>
            <w:r>
              <w:rPr>
                <w:rFonts w:hint="eastAsia" w:ascii="Times New Roman" w:hAnsi="Times New Roman" w:cs="Times New Roman"/>
                <w:color w:val="auto"/>
                <w:sz w:val="24"/>
                <w:szCs w:val="24"/>
                <w:highlight w:val="none"/>
                <w:lang w:val="en-US" w:eastAsia="zh-CN"/>
              </w:rPr>
              <w:t>A组分和</w:t>
            </w:r>
            <w:r>
              <w:rPr>
                <w:rFonts w:ascii="Times New Roman" w:hAnsi="Times New Roman" w:cs="Times New Roman"/>
                <w:color w:val="auto"/>
                <w:sz w:val="24"/>
                <w:szCs w:val="24"/>
                <w:highlight w:val="none"/>
              </w:rPr>
              <w:t>B组分</w:t>
            </w:r>
            <w:r>
              <w:rPr>
                <w:rFonts w:hint="default" w:ascii="Times New Roman" w:hAnsi="Times New Roman" w:cs="Times New Roman"/>
                <w:color w:val="auto"/>
                <w:kern w:val="24"/>
                <w:sz w:val="24"/>
                <w:szCs w:val="24"/>
                <w:highlight w:val="none"/>
              </w:rPr>
              <w:t>工作时配比关系为体积比，具体比例为</w:t>
            </w:r>
            <w:r>
              <w:rPr>
                <w:rFonts w:ascii="Times New Roman" w:hAnsi="Times New Roman" w:cs="Times New Roman"/>
                <w:color w:val="auto"/>
                <w:sz w:val="24"/>
                <w:szCs w:val="24"/>
                <w:highlight w:val="none"/>
              </w:rPr>
              <w:t>环氧有机富锌底漆</w:t>
            </w:r>
            <w:r>
              <w:rPr>
                <w:rFonts w:hint="eastAsia" w:ascii="Times New Roman" w:hAnsi="Times New Roman" w:cs="Times New Roman"/>
                <w:color w:val="auto"/>
                <w:sz w:val="24"/>
                <w:szCs w:val="24"/>
                <w:highlight w:val="none"/>
                <w:lang w:val="en-US" w:eastAsia="zh-CN"/>
              </w:rPr>
              <w:t>A组分</w:t>
            </w:r>
            <w:r>
              <w:rPr>
                <w:rFonts w:hint="default" w:ascii="Times New Roman" w:hAnsi="Times New Roman" w:cs="Times New Roman"/>
                <w:color w:val="auto"/>
                <w:kern w:val="24"/>
                <w:sz w:val="24"/>
                <w:szCs w:val="24"/>
                <w:highlight w:val="none"/>
              </w:rPr>
              <w:t>：</w:t>
            </w:r>
            <w:r>
              <w:rPr>
                <w:rFonts w:ascii="Times New Roman" w:hAnsi="Times New Roman" w:cs="Times New Roman"/>
                <w:color w:val="auto"/>
                <w:sz w:val="24"/>
                <w:szCs w:val="24"/>
                <w:highlight w:val="none"/>
              </w:rPr>
              <w:t>环氧有机富锌底漆</w:t>
            </w:r>
            <w:r>
              <w:rPr>
                <w:rFonts w:hint="eastAsia" w:ascii="Times New Roman" w:hAnsi="Times New Roman" w:cs="Times New Roman"/>
                <w:color w:val="auto"/>
                <w:sz w:val="24"/>
                <w:szCs w:val="24"/>
                <w:highlight w:val="none"/>
                <w:lang w:val="en-US" w:eastAsia="zh-CN"/>
              </w:rPr>
              <w:t>B组分</w:t>
            </w:r>
            <w:r>
              <w:rPr>
                <w:rFonts w:hint="default" w:ascii="Times New Roman" w:hAnsi="Times New Roman" w:cs="Times New Roman"/>
                <w:color w:val="auto"/>
                <w:kern w:val="24"/>
                <w:sz w:val="24"/>
                <w:szCs w:val="24"/>
                <w:highlight w:val="none"/>
              </w:rPr>
              <w:t>=</w:t>
            </w:r>
            <w:r>
              <w:rPr>
                <w:rFonts w:hint="eastAsia" w:cs="Times New Roman"/>
                <w:color w:val="auto"/>
                <w:kern w:val="24"/>
                <w:sz w:val="24"/>
                <w:szCs w:val="24"/>
                <w:highlight w:val="none"/>
                <w:lang w:val="en-US" w:eastAsia="zh-CN"/>
              </w:rPr>
              <w:t>4</w:t>
            </w:r>
            <w:r>
              <w:rPr>
                <w:rFonts w:hint="default" w:ascii="Times New Roman" w:hAnsi="Times New Roman" w:cs="Times New Roman"/>
                <w:color w:val="auto"/>
                <w:kern w:val="24"/>
                <w:sz w:val="24"/>
                <w:szCs w:val="24"/>
                <w:highlight w:val="none"/>
              </w:rPr>
              <w:t>：1</w:t>
            </w:r>
            <w:r>
              <w:rPr>
                <w:rFonts w:hint="eastAsia" w:cs="Times New Roman"/>
                <w:color w:val="auto"/>
                <w:kern w:val="24"/>
                <w:sz w:val="24"/>
                <w:szCs w:val="24"/>
                <w:highlight w:val="none"/>
                <w:lang w:eastAsia="zh-CN"/>
              </w:rPr>
              <w:t>，</w:t>
            </w:r>
            <w:r>
              <w:rPr>
                <w:color w:val="auto"/>
                <w:spacing w:val="-6"/>
                <w:sz w:val="24"/>
                <w:szCs w:val="24"/>
                <w:highlight w:val="none"/>
              </w:rPr>
              <w:t>稀释剂约占工作漆料10%（质量比）</w:t>
            </w:r>
            <w:r>
              <w:rPr>
                <w:rFonts w:hint="default" w:ascii="Times New Roman" w:hAnsi="Times New Roman" w:cs="Times New Roman"/>
                <w:color w:val="auto"/>
                <w:kern w:val="24"/>
                <w:sz w:val="24"/>
                <w:szCs w:val="24"/>
                <w:highlight w:val="none"/>
              </w:rPr>
              <w:t>。</w:t>
            </w:r>
            <w:r>
              <w:rPr>
                <w:rFonts w:ascii="Times New Roman" w:hAnsi="Times New Roman" w:cs="Times New Roman"/>
                <w:color w:val="auto"/>
                <w:sz w:val="24"/>
                <w:szCs w:val="24"/>
                <w:highlight w:val="none"/>
              </w:rPr>
              <w:t>环氧有机富锌底漆</w:t>
            </w:r>
            <w:r>
              <w:rPr>
                <w:rFonts w:hint="eastAsia" w:ascii="Times New Roman" w:hAnsi="Times New Roman" w:cs="Times New Roman"/>
                <w:color w:val="auto"/>
                <w:sz w:val="24"/>
                <w:szCs w:val="24"/>
                <w:highlight w:val="none"/>
                <w:lang w:val="en-US" w:eastAsia="zh-CN"/>
              </w:rPr>
              <w:t>A组分</w:t>
            </w:r>
            <w:r>
              <w:rPr>
                <w:rFonts w:hint="default" w:ascii="Times New Roman" w:hAnsi="Times New Roman" w:cs="Times New Roman"/>
                <w:color w:val="auto"/>
                <w:kern w:val="24"/>
                <w:sz w:val="24"/>
                <w:szCs w:val="24"/>
                <w:highlight w:val="none"/>
              </w:rPr>
              <w:t>的密度为1.</w:t>
            </w:r>
            <w:r>
              <w:rPr>
                <w:rFonts w:hint="eastAsia" w:cs="Times New Roman"/>
                <w:color w:val="auto"/>
                <w:kern w:val="24"/>
                <w:sz w:val="24"/>
                <w:szCs w:val="24"/>
                <w:highlight w:val="none"/>
                <w:lang w:val="en-US" w:eastAsia="zh-CN"/>
              </w:rPr>
              <w:t>3943</w:t>
            </w:r>
            <w:r>
              <w:rPr>
                <w:rFonts w:hint="default" w:ascii="Times New Roman" w:hAnsi="Times New Roman" w:cs="Times New Roman"/>
                <w:color w:val="auto"/>
                <w:sz w:val="24"/>
                <w:szCs w:val="24"/>
                <w:highlight w:val="none"/>
              </w:rPr>
              <w:t>g/cm³，</w:t>
            </w:r>
            <w:r>
              <w:rPr>
                <w:rFonts w:ascii="Times New Roman" w:hAnsi="Times New Roman" w:cs="Times New Roman"/>
                <w:color w:val="auto"/>
                <w:sz w:val="24"/>
                <w:szCs w:val="24"/>
                <w:highlight w:val="none"/>
              </w:rPr>
              <w:t>环氧有机富锌底漆</w:t>
            </w:r>
            <w:r>
              <w:rPr>
                <w:rFonts w:hint="eastAsia" w:ascii="Times New Roman" w:hAnsi="Times New Roman" w:cs="Times New Roman"/>
                <w:color w:val="auto"/>
                <w:sz w:val="24"/>
                <w:szCs w:val="24"/>
                <w:highlight w:val="none"/>
                <w:lang w:val="en-US" w:eastAsia="zh-CN"/>
              </w:rPr>
              <w:t>B组分</w:t>
            </w:r>
            <w:r>
              <w:rPr>
                <w:rFonts w:hint="default" w:ascii="Times New Roman" w:hAnsi="Times New Roman" w:cs="Times New Roman"/>
                <w:color w:val="auto"/>
                <w:sz w:val="24"/>
                <w:szCs w:val="24"/>
                <w:highlight w:val="none"/>
              </w:rPr>
              <w:t>的密度为</w:t>
            </w:r>
            <w:r>
              <w:rPr>
                <w:rFonts w:hint="eastAsia" w:cs="Times New Roman"/>
                <w:color w:val="auto"/>
                <w:sz w:val="24"/>
                <w:szCs w:val="24"/>
                <w:highlight w:val="none"/>
                <w:lang w:val="en-US" w:eastAsia="zh-CN"/>
              </w:rPr>
              <w:t>0.897</w:t>
            </w:r>
            <w:r>
              <w:rPr>
                <w:rFonts w:hint="default" w:ascii="Times New Roman" w:hAnsi="Times New Roman" w:cs="Times New Roman"/>
                <w:color w:val="auto"/>
                <w:sz w:val="24"/>
                <w:szCs w:val="24"/>
                <w:highlight w:val="none"/>
              </w:rPr>
              <w:t>g/cm³，</w:t>
            </w:r>
            <w:r>
              <w:rPr>
                <w:rFonts w:hint="eastAsia" w:cs="Times New Roman"/>
                <w:color w:val="auto"/>
                <w:sz w:val="24"/>
                <w:szCs w:val="24"/>
                <w:highlight w:val="none"/>
                <w:lang w:val="en-US" w:eastAsia="zh-CN"/>
              </w:rPr>
              <w:t>稀释</w:t>
            </w:r>
            <w:r>
              <w:rPr>
                <w:rFonts w:hint="default" w:ascii="Times New Roman" w:hAnsi="Times New Roman" w:cs="Times New Roman"/>
                <w:color w:val="auto"/>
                <w:sz w:val="24"/>
                <w:szCs w:val="24"/>
                <w:highlight w:val="none"/>
              </w:rPr>
              <w:t>剂密度为</w:t>
            </w:r>
            <w:r>
              <w:rPr>
                <w:rFonts w:hint="default" w:ascii="Times New Roman" w:hAnsi="Times New Roman" w:cs="Times New Roman"/>
                <w:color w:val="auto"/>
                <w:kern w:val="24"/>
                <w:sz w:val="24"/>
                <w:szCs w:val="24"/>
                <w:highlight w:val="none"/>
              </w:rPr>
              <w:t>0.</w:t>
            </w:r>
            <w:r>
              <w:rPr>
                <w:rFonts w:hint="eastAsia" w:cs="Times New Roman"/>
                <w:color w:val="auto"/>
                <w:kern w:val="24"/>
                <w:sz w:val="24"/>
                <w:szCs w:val="24"/>
                <w:highlight w:val="none"/>
                <w:lang w:val="en-US" w:eastAsia="zh-CN"/>
              </w:rPr>
              <w:t>8274</w:t>
            </w:r>
            <w:r>
              <w:rPr>
                <w:rFonts w:hint="default" w:ascii="Times New Roman" w:hAnsi="Times New Roman" w:cs="Times New Roman"/>
                <w:color w:val="auto"/>
                <w:sz w:val="24"/>
                <w:szCs w:val="24"/>
                <w:highlight w:val="none"/>
              </w:rPr>
              <w:t>g/cm³。因此，工作状态下各漆料的质量比为</w:t>
            </w:r>
            <w:r>
              <w:rPr>
                <w:rFonts w:hint="eastAsia" w:cs="Times New Roman"/>
                <w:color w:val="auto"/>
                <w:kern w:val="24"/>
                <w:sz w:val="24"/>
                <w:szCs w:val="24"/>
                <w:highlight w:val="none"/>
                <w:lang w:val="en-US" w:eastAsia="zh-CN"/>
              </w:rPr>
              <w:t>A组分</w:t>
            </w:r>
            <w:r>
              <w:rPr>
                <w:rFonts w:hint="default" w:ascii="Times New Roman" w:hAnsi="Times New Roman" w:cs="Times New Roman"/>
                <w:color w:val="auto"/>
                <w:kern w:val="24"/>
                <w:sz w:val="24"/>
                <w:szCs w:val="24"/>
                <w:highlight w:val="none"/>
              </w:rPr>
              <w:t>：</w:t>
            </w:r>
            <w:r>
              <w:rPr>
                <w:rFonts w:hint="eastAsia" w:cs="Times New Roman"/>
                <w:color w:val="auto"/>
                <w:kern w:val="24"/>
                <w:sz w:val="24"/>
                <w:szCs w:val="24"/>
                <w:highlight w:val="none"/>
                <w:lang w:val="en-US" w:eastAsia="zh-CN"/>
              </w:rPr>
              <w:t>B组分</w:t>
            </w:r>
            <w:r>
              <w:rPr>
                <w:rFonts w:hint="default" w:ascii="Times New Roman" w:hAnsi="Times New Roman" w:cs="Times New Roman"/>
                <w:color w:val="auto"/>
                <w:kern w:val="24"/>
                <w:sz w:val="24"/>
                <w:szCs w:val="24"/>
                <w:highlight w:val="none"/>
              </w:rPr>
              <w:t>：</w:t>
            </w:r>
            <w:r>
              <w:rPr>
                <w:rFonts w:hint="eastAsia" w:cs="Times New Roman"/>
                <w:color w:val="auto"/>
                <w:kern w:val="24"/>
                <w:sz w:val="24"/>
                <w:szCs w:val="24"/>
                <w:highlight w:val="none"/>
                <w:lang w:val="en-US" w:eastAsia="zh-CN"/>
              </w:rPr>
              <w:t>稀释剂</w:t>
            </w:r>
            <w:r>
              <w:rPr>
                <w:rFonts w:hint="default" w:ascii="Times New Roman" w:hAnsi="Times New Roman" w:cs="Times New Roman"/>
                <w:color w:val="auto"/>
                <w:kern w:val="24"/>
                <w:sz w:val="24"/>
                <w:szCs w:val="24"/>
                <w:highlight w:val="none"/>
              </w:rPr>
              <w:t>=</w:t>
            </w:r>
            <w:r>
              <w:rPr>
                <w:rFonts w:hint="eastAsia" w:cs="Times New Roman"/>
                <w:color w:val="auto"/>
                <w:kern w:val="24"/>
                <w:sz w:val="24"/>
                <w:szCs w:val="24"/>
                <w:highlight w:val="none"/>
                <w:lang w:val="en-US" w:eastAsia="zh-CN"/>
              </w:rPr>
              <w:t>55.8</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7.2</w:t>
            </w:r>
            <w:r>
              <w:rPr>
                <w:rFonts w:hint="default" w:ascii="Times New Roman" w:hAnsi="Times New Roman" w:eastAsia="宋体" w:cs="Times New Roman"/>
                <w:color w:val="auto"/>
                <w:sz w:val="24"/>
                <w:szCs w:val="24"/>
                <w:highlight w:val="none"/>
              </w:rPr>
              <w:t>。</w:t>
            </w:r>
          </w:p>
          <w:p>
            <w:pPr>
              <w:spacing w:line="360" w:lineRule="auto"/>
              <w:ind w:firstLine="480" w:firstLineChars="200"/>
              <w:rPr>
                <w:rFonts w:hint="default" w:ascii="Times New Roman" w:hAnsi="Times New Roman" w:cs="Times New Roman"/>
                <w:color w:val="auto"/>
                <w:kern w:val="24"/>
                <w:szCs w:val="24"/>
                <w:highlight w:val="none"/>
              </w:rPr>
            </w:pPr>
            <w:r>
              <w:rPr>
                <w:rFonts w:hint="eastAsia" w:ascii="Times New Roman" w:hAnsi="Times New Roman" w:cs="Times New Roman" w:eastAsiaTheme="minorEastAsia"/>
                <w:color w:val="auto"/>
                <w:szCs w:val="24"/>
                <w:highlight w:val="none"/>
                <w:lang w:val="en-US" w:eastAsia="zh-CN"/>
              </w:rPr>
              <w:t>伸缩式喷漆</w:t>
            </w:r>
            <w:r>
              <w:rPr>
                <w:rFonts w:hint="default" w:ascii="Times New Roman" w:hAnsi="Times New Roman" w:cs="Times New Roman" w:eastAsiaTheme="minorEastAsia"/>
                <w:color w:val="auto"/>
                <w:szCs w:val="24"/>
                <w:highlight w:val="none"/>
              </w:rPr>
              <w:t>中</w:t>
            </w:r>
            <w:r>
              <w:rPr>
                <w:rFonts w:hint="default" w:ascii="Times New Roman" w:hAnsi="Times New Roman" w:cs="Times New Roman"/>
                <w:color w:val="auto"/>
                <w:kern w:val="24"/>
                <w:szCs w:val="24"/>
                <w:highlight w:val="none"/>
              </w:rPr>
              <w:t>经配比后工作状态下环氧有机富锌底漆使用量为</w:t>
            </w:r>
            <w:r>
              <w:rPr>
                <w:rFonts w:hint="eastAsia" w:ascii="Times New Roman" w:hAnsi="Times New Roman" w:cs="Times New Roman"/>
                <w:color w:val="auto"/>
                <w:kern w:val="24"/>
                <w:szCs w:val="24"/>
                <w:highlight w:val="none"/>
                <w:lang w:val="en-US" w:eastAsia="zh-CN"/>
              </w:rPr>
              <w:t>4.1</w:t>
            </w:r>
            <w:r>
              <w:rPr>
                <w:rFonts w:hint="default" w:ascii="Times New Roman" w:hAnsi="Times New Roman" w:cs="Times New Roman"/>
                <w:color w:val="auto"/>
                <w:kern w:val="24"/>
                <w:szCs w:val="24"/>
                <w:highlight w:val="none"/>
              </w:rPr>
              <w:t>t/a，其中</w:t>
            </w:r>
            <w:r>
              <w:rPr>
                <w:rFonts w:hint="eastAsia" w:ascii="Times New Roman" w:hAnsi="Times New Roman" w:cs="Times New Roman"/>
                <w:color w:val="auto"/>
                <w:kern w:val="24"/>
                <w:szCs w:val="24"/>
                <w:highlight w:val="none"/>
                <w:lang w:val="en-US" w:eastAsia="zh-CN"/>
              </w:rPr>
              <w:t>A组分</w:t>
            </w:r>
            <w:r>
              <w:rPr>
                <w:rFonts w:hint="default" w:ascii="Times New Roman" w:hAnsi="Times New Roman" w:cs="Times New Roman"/>
                <w:color w:val="auto"/>
                <w:kern w:val="24"/>
                <w:szCs w:val="24"/>
                <w:highlight w:val="none"/>
              </w:rPr>
              <w:t>含量=</w:t>
            </w:r>
            <w:r>
              <w:rPr>
                <w:rFonts w:hint="eastAsia" w:cs="Times New Roman"/>
                <w:color w:val="auto"/>
                <w:kern w:val="24"/>
                <w:szCs w:val="24"/>
                <w:highlight w:val="none"/>
                <w:lang w:val="en-US" w:eastAsia="zh-CN"/>
              </w:rPr>
              <w:t>4.1</w:t>
            </w:r>
            <w:r>
              <w:rPr>
                <w:rFonts w:hint="default" w:ascii="Times New Roman" w:hAnsi="Times New Roman" w:cs="Times New Roman"/>
                <w:color w:val="auto"/>
                <w:kern w:val="24"/>
                <w:szCs w:val="24"/>
                <w:highlight w:val="none"/>
              </w:rPr>
              <w:t>×</w:t>
            </w:r>
            <w:r>
              <w:rPr>
                <w:rFonts w:hint="eastAsia" w:cs="Times New Roman"/>
                <w:color w:val="auto"/>
                <w:kern w:val="24"/>
                <w:szCs w:val="24"/>
                <w:highlight w:val="none"/>
                <w:lang w:val="en-US" w:eastAsia="zh-CN"/>
              </w:rPr>
              <w:t>55.8</w:t>
            </w:r>
            <w:r>
              <w:rPr>
                <w:rFonts w:hint="default" w:ascii="Times New Roman" w:hAnsi="Times New Roman" w:cs="Times New Roman"/>
                <w:color w:val="auto"/>
                <w:kern w:val="24"/>
                <w:szCs w:val="24"/>
                <w:highlight w:val="none"/>
              </w:rPr>
              <w:t>÷（</w:t>
            </w:r>
            <w:r>
              <w:rPr>
                <w:rFonts w:hint="eastAsia" w:ascii="Times New Roman" w:hAnsi="Times New Roman" w:cs="Times New Roman"/>
                <w:color w:val="auto"/>
                <w:kern w:val="24"/>
                <w:szCs w:val="24"/>
                <w:highlight w:val="none"/>
                <w:lang w:val="en-US" w:eastAsia="zh-CN"/>
              </w:rPr>
              <w:t>55.8</w:t>
            </w:r>
            <w:r>
              <w:rPr>
                <w:rFonts w:hint="default" w:ascii="Times New Roman" w:hAnsi="Times New Roman" w:cs="Times New Roman"/>
                <w:color w:val="auto"/>
                <w:kern w:val="24"/>
                <w:szCs w:val="24"/>
                <w:highlight w:val="none"/>
              </w:rPr>
              <w:t>+</w:t>
            </w:r>
            <w:r>
              <w:rPr>
                <w:rFonts w:hint="eastAsia" w:ascii="Times New Roman" w:hAnsi="Times New Roman" w:cs="Times New Roman"/>
                <w:color w:val="auto"/>
                <w:kern w:val="24"/>
                <w:szCs w:val="24"/>
                <w:highlight w:val="none"/>
                <w:lang w:val="en-US" w:eastAsia="zh-CN"/>
              </w:rPr>
              <w:t>9</w:t>
            </w:r>
            <w:r>
              <w:rPr>
                <w:rFonts w:hint="default" w:ascii="Times New Roman" w:hAnsi="Times New Roman" w:cs="Times New Roman"/>
                <w:color w:val="auto"/>
                <w:kern w:val="24"/>
                <w:szCs w:val="24"/>
                <w:highlight w:val="none"/>
              </w:rPr>
              <w:t>+</w:t>
            </w:r>
            <w:r>
              <w:rPr>
                <w:rFonts w:hint="eastAsia" w:ascii="Times New Roman" w:hAnsi="Times New Roman" w:cs="Times New Roman"/>
                <w:color w:val="auto"/>
                <w:kern w:val="24"/>
                <w:szCs w:val="24"/>
                <w:highlight w:val="none"/>
                <w:lang w:val="en-US" w:eastAsia="zh-CN"/>
              </w:rPr>
              <w:t>7.2</w:t>
            </w:r>
            <w:r>
              <w:rPr>
                <w:rFonts w:hint="default" w:ascii="Times New Roman" w:hAnsi="Times New Roman" w:cs="Times New Roman"/>
                <w:color w:val="auto"/>
                <w:kern w:val="24"/>
                <w:szCs w:val="24"/>
                <w:highlight w:val="none"/>
              </w:rPr>
              <w:t>）=</w:t>
            </w:r>
            <w:r>
              <w:rPr>
                <w:rFonts w:hint="eastAsia" w:cs="Times New Roman"/>
                <w:color w:val="auto"/>
                <w:kern w:val="24"/>
                <w:szCs w:val="24"/>
                <w:highlight w:val="none"/>
                <w:lang w:val="en-US" w:eastAsia="zh-CN"/>
              </w:rPr>
              <w:t>3.18</w:t>
            </w:r>
            <w:r>
              <w:rPr>
                <w:rFonts w:hint="default" w:ascii="Times New Roman" w:hAnsi="Times New Roman" w:cs="Times New Roman"/>
                <w:color w:val="auto"/>
                <w:kern w:val="24"/>
                <w:szCs w:val="24"/>
                <w:highlight w:val="none"/>
              </w:rPr>
              <w:t>t/a，</w:t>
            </w:r>
            <w:r>
              <w:rPr>
                <w:rFonts w:hint="eastAsia" w:cs="Times New Roman"/>
                <w:color w:val="auto"/>
                <w:kern w:val="24"/>
                <w:szCs w:val="24"/>
                <w:highlight w:val="none"/>
                <w:lang w:val="en-US" w:eastAsia="zh-CN"/>
              </w:rPr>
              <w:t>B组分</w:t>
            </w:r>
            <w:r>
              <w:rPr>
                <w:rFonts w:hint="default" w:ascii="Times New Roman" w:hAnsi="Times New Roman" w:cs="Times New Roman"/>
                <w:color w:val="auto"/>
                <w:kern w:val="24"/>
                <w:szCs w:val="24"/>
                <w:highlight w:val="none"/>
              </w:rPr>
              <w:t>含量=</w:t>
            </w:r>
            <w:r>
              <w:rPr>
                <w:rFonts w:hint="eastAsia" w:cs="Times New Roman"/>
                <w:color w:val="auto"/>
                <w:kern w:val="24"/>
                <w:szCs w:val="24"/>
                <w:highlight w:val="none"/>
                <w:lang w:val="en-US" w:eastAsia="zh-CN"/>
              </w:rPr>
              <w:t>4.1</w:t>
            </w:r>
            <w:r>
              <w:rPr>
                <w:rFonts w:hint="default" w:ascii="Times New Roman" w:hAnsi="Times New Roman" w:cs="Times New Roman"/>
                <w:color w:val="auto"/>
                <w:kern w:val="24"/>
                <w:szCs w:val="24"/>
                <w:highlight w:val="none"/>
              </w:rPr>
              <w:t>×</w:t>
            </w:r>
            <w:r>
              <w:rPr>
                <w:rFonts w:hint="eastAsia" w:cs="Times New Roman"/>
                <w:color w:val="auto"/>
                <w:kern w:val="24"/>
                <w:szCs w:val="24"/>
                <w:highlight w:val="none"/>
                <w:lang w:val="en-US" w:eastAsia="zh-CN"/>
              </w:rPr>
              <w:t>9</w:t>
            </w:r>
            <w:r>
              <w:rPr>
                <w:rFonts w:hint="default" w:ascii="Times New Roman" w:hAnsi="Times New Roman" w:cs="Times New Roman"/>
                <w:color w:val="auto"/>
                <w:kern w:val="24"/>
                <w:szCs w:val="24"/>
                <w:highlight w:val="none"/>
              </w:rPr>
              <w:t>÷（</w:t>
            </w:r>
            <w:r>
              <w:rPr>
                <w:rFonts w:hint="eastAsia" w:ascii="Times New Roman" w:hAnsi="Times New Roman" w:cs="Times New Roman"/>
                <w:color w:val="auto"/>
                <w:kern w:val="24"/>
                <w:szCs w:val="24"/>
                <w:highlight w:val="none"/>
                <w:lang w:val="en-US" w:eastAsia="zh-CN"/>
              </w:rPr>
              <w:t>55.8</w:t>
            </w:r>
            <w:r>
              <w:rPr>
                <w:rFonts w:hint="default" w:ascii="Times New Roman" w:hAnsi="Times New Roman" w:cs="Times New Roman"/>
                <w:color w:val="auto"/>
                <w:kern w:val="24"/>
                <w:szCs w:val="24"/>
                <w:highlight w:val="none"/>
              </w:rPr>
              <w:t>+</w:t>
            </w:r>
            <w:r>
              <w:rPr>
                <w:rFonts w:hint="eastAsia" w:ascii="Times New Roman" w:hAnsi="Times New Roman" w:cs="Times New Roman"/>
                <w:color w:val="auto"/>
                <w:kern w:val="24"/>
                <w:szCs w:val="24"/>
                <w:highlight w:val="none"/>
                <w:lang w:val="en-US" w:eastAsia="zh-CN"/>
              </w:rPr>
              <w:t>9</w:t>
            </w:r>
            <w:r>
              <w:rPr>
                <w:rFonts w:hint="default" w:ascii="Times New Roman" w:hAnsi="Times New Roman" w:cs="Times New Roman"/>
                <w:color w:val="auto"/>
                <w:kern w:val="24"/>
                <w:szCs w:val="24"/>
                <w:highlight w:val="none"/>
              </w:rPr>
              <w:t>+</w:t>
            </w:r>
            <w:r>
              <w:rPr>
                <w:rFonts w:hint="eastAsia" w:ascii="Times New Roman" w:hAnsi="Times New Roman" w:cs="Times New Roman"/>
                <w:color w:val="auto"/>
                <w:kern w:val="24"/>
                <w:szCs w:val="24"/>
                <w:highlight w:val="none"/>
                <w:lang w:val="en-US" w:eastAsia="zh-CN"/>
              </w:rPr>
              <w:t>7.2</w:t>
            </w:r>
            <w:r>
              <w:rPr>
                <w:rFonts w:hint="default" w:ascii="Times New Roman" w:hAnsi="Times New Roman" w:cs="Times New Roman"/>
                <w:color w:val="auto"/>
                <w:kern w:val="24"/>
                <w:szCs w:val="24"/>
                <w:highlight w:val="none"/>
              </w:rPr>
              <w:t>）=0.</w:t>
            </w:r>
            <w:r>
              <w:rPr>
                <w:rFonts w:hint="eastAsia" w:cs="Times New Roman"/>
                <w:color w:val="auto"/>
                <w:kern w:val="24"/>
                <w:szCs w:val="24"/>
                <w:highlight w:val="none"/>
                <w:lang w:val="en-US" w:eastAsia="zh-CN"/>
              </w:rPr>
              <w:t>51</w:t>
            </w:r>
            <w:r>
              <w:rPr>
                <w:rFonts w:hint="default" w:ascii="Times New Roman" w:hAnsi="Times New Roman" w:cs="Times New Roman"/>
                <w:color w:val="auto"/>
                <w:kern w:val="24"/>
                <w:szCs w:val="24"/>
                <w:highlight w:val="none"/>
              </w:rPr>
              <w:t>t/a，</w:t>
            </w:r>
            <w:r>
              <w:rPr>
                <w:rFonts w:hint="eastAsia" w:cs="Times New Roman"/>
                <w:color w:val="auto"/>
                <w:kern w:val="24"/>
                <w:szCs w:val="24"/>
                <w:highlight w:val="none"/>
                <w:lang w:val="en-US" w:eastAsia="zh-CN"/>
              </w:rPr>
              <w:t>稀释剂</w:t>
            </w:r>
            <w:r>
              <w:rPr>
                <w:rFonts w:hint="default" w:ascii="Times New Roman" w:hAnsi="Times New Roman" w:cs="Times New Roman"/>
                <w:color w:val="auto"/>
                <w:kern w:val="24"/>
                <w:szCs w:val="24"/>
                <w:highlight w:val="none"/>
              </w:rPr>
              <w:t>含量=</w:t>
            </w:r>
            <w:r>
              <w:rPr>
                <w:rFonts w:hint="eastAsia" w:cs="Times New Roman"/>
                <w:color w:val="auto"/>
                <w:kern w:val="24"/>
                <w:szCs w:val="24"/>
                <w:highlight w:val="none"/>
                <w:lang w:val="en-US" w:eastAsia="zh-CN"/>
              </w:rPr>
              <w:t>4.1</w:t>
            </w:r>
            <w:r>
              <w:rPr>
                <w:rFonts w:hint="default" w:ascii="Times New Roman" w:hAnsi="Times New Roman" w:cs="Times New Roman"/>
                <w:color w:val="auto"/>
                <w:kern w:val="24"/>
                <w:szCs w:val="24"/>
                <w:highlight w:val="none"/>
              </w:rPr>
              <w:t>×</w:t>
            </w:r>
            <w:r>
              <w:rPr>
                <w:rFonts w:hint="eastAsia" w:cs="Times New Roman"/>
                <w:color w:val="auto"/>
                <w:kern w:val="24"/>
                <w:szCs w:val="24"/>
                <w:highlight w:val="none"/>
                <w:lang w:val="en-US" w:eastAsia="zh-CN"/>
              </w:rPr>
              <w:t>7.2</w:t>
            </w:r>
            <w:r>
              <w:rPr>
                <w:rFonts w:hint="default" w:ascii="Times New Roman" w:hAnsi="Times New Roman" w:cs="Times New Roman"/>
                <w:color w:val="auto"/>
                <w:kern w:val="24"/>
                <w:szCs w:val="24"/>
                <w:highlight w:val="none"/>
              </w:rPr>
              <w:t>÷（</w:t>
            </w:r>
            <w:r>
              <w:rPr>
                <w:rFonts w:hint="eastAsia" w:ascii="Times New Roman" w:hAnsi="Times New Roman" w:cs="Times New Roman"/>
                <w:color w:val="auto"/>
                <w:kern w:val="24"/>
                <w:szCs w:val="24"/>
                <w:highlight w:val="none"/>
                <w:lang w:val="en-US" w:eastAsia="zh-CN"/>
              </w:rPr>
              <w:t>55.8</w:t>
            </w:r>
            <w:r>
              <w:rPr>
                <w:rFonts w:hint="default" w:ascii="Times New Roman" w:hAnsi="Times New Roman" w:cs="Times New Roman"/>
                <w:color w:val="auto"/>
                <w:kern w:val="24"/>
                <w:szCs w:val="24"/>
                <w:highlight w:val="none"/>
              </w:rPr>
              <w:t>+</w:t>
            </w:r>
            <w:r>
              <w:rPr>
                <w:rFonts w:hint="eastAsia" w:ascii="Times New Roman" w:hAnsi="Times New Roman" w:cs="Times New Roman"/>
                <w:color w:val="auto"/>
                <w:kern w:val="24"/>
                <w:szCs w:val="24"/>
                <w:highlight w:val="none"/>
                <w:lang w:val="en-US" w:eastAsia="zh-CN"/>
              </w:rPr>
              <w:t>9</w:t>
            </w:r>
            <w:r>
              <w:rPr>
                <w:rFonts w:hint="default" w:ascii="Times New Roman" w:hAnsi="Times New Roman" w:cs="Times New Roman"/>
                <w:color w:val="auto"/>
                <w:kern w:val="24"/>
                <w:szCs w:val="24"/>
                <w:highlight w:val="none"/>
              </w:rPr>
              <w:t>+</w:t>
            </w:r>
            <w:r>
              <w:rPr>
                <w:rFonts w:hint="eastAsia" w:ascii="Times New Roman" w:hAnsi="Times New Roman" w:cs="Times New Roman"/>
                <w:color w:val="auto"/>
                <w:kern w:val="24"/>
                <w:szCs w:val="24"/>
                <w:highlight w:val="none"/>
                <w:lang w:val="en-US" w:eastAsia="zh-CN"/>
              </w:rPr>
              <w:t>7.2</w:t>
            </w:r>
            <w:r>
              <w:rPr>
                <w:rFonts w:hint="default" w:ascii="Times New Roman" w:hAnsi="Times New Roman" w:cs="Times New Roman"/>
                <w:color w:val="auto"/>
                <w:kern w:val="24"/>
                <w:szCs w:val="24"/>
                <w:highlight w:val="none"/>
              </w:rPr>
              <w:t>）=0.4</w:t>
            </w:r>
            <w:r>
              <w:rPr>
                <w:rFonts w:hint="eastAsia" w:cs="Times New Roman"/>
                <w:color w:val="auto"/>
                <w:kern w:val="24"/>
                <w:szCs w:val="24"/>
                <w:highlight w:val="none"/>
                <w:lang w:val="en-US" w:eastAsia="zh-CN"/>
              </w:rPr>
              <w:t>1</w:t>
            </w:r>
            <w:r>
              <w:rPr>
                <w:rFonts w:hint="default" w:ascii="Times New Roman" w:hAnsi="Times New Roman" w:cs="Times New Roman"/>
                <w:color w:val="auto"/>
                <w:kern w:val="24"/>
                <w:szCs w:val="24"/>
                <w:highlight w:val="none"/>
              </w:rPr>
              <w:t>t/a。</w:t>
            </w:r>
          </w:p>
          <w:p>
            <w:pPr>
              <w:spacing w:line="360" w:lineRule="auto"/>
              <w:ind w:firstLine="480" w:firstLineChars="200"/>
              <w:rPr>
                <w:rFonts w:hint="default" w:ascii="Times New Roman" w:hAnsi="Times New Roman" w:eastAsia="宋体" w:cs="Times New Roman"/>
                <w:color w:val="auto"/>
                <w:szCs w:val="21"/>
                <w:highlight w:val="none"/>
              </w:rPr>
            </w:pPr>
            <w:r>
              <w:rPr>
                <w:rFonts w:ascii="Times New Roman" w:hAnsi="Times New Roman" w:cs="Times New Roman"/>
                <w:color w:val="auto"/>
                <w:szCs w:val="21"/>
                <w:highlight w:val="none"/>
              </w:rPr>
              <w:t>环氧云母氧化铁漆A组分</w:t>
            </w:r>
            <w:r>
              <w:rPr>
                <w:rFonts w:hint="eastAsia" w:ascii="Times New Roman" w:hAnsi="Times New Roman" w:eastAsia="宋体" w:cs="Times New Roman"/>
                <w:color w:val="auto"/>
                <w:szCs w:val="21"/>
                <w:highlight w:val="none"/>
                <w:lang w:val="en-US" w:eastAsia="zh-CN"/>
              </w:rPr>
              <w:t>和</w:t>
            </w:r>
            <w:r>
              <w:rPr>
                <w:rFonts w:ascii="Times New Roman" w:hAnsi="Times New Roman" w:eastAsia="宋体" w:cs="Times New Roman"/>
                <w:color w:val="auto"/>
                <w:szCs w:val="21"/>
                <w:highlight w:val="none"/>
              </w:rPr>
              <w:t>B组分</w:t>
            </w:r>
            <w:r>
              <w:rPr>
                <w:rFonts w:hint="default" w:ascii="Times New Roman" w:hAnsi="Times New Roman" w:eastAsia="宋体" w:cs="Times New Roman"/>
                <w:color w:val="auto"/>
                <w:szCs w:val="21"/>
                <w:highlight w:val="none"/>
              </w:rPr>
              <w:t>工作时配比关系为体积比，具体比例为</w:t>
            </w:r>
            <w:r>
              <w:rPr>
                <w:rFonts w:ascii="Times New Roman" w:hAnsi="Times New Roman" w:cs="Times New Roman"/>
                <w:color w:val="auto"/>
                <w:szCs w:val="21"/>
                <w:highlight w:val="none"/>
              </w:rPr>
              <w:t>环氧云母氧化铁漆A组分</w:t>
            </w:r>
            <w:r>
              <w:rPr>
                <w:rFonts w:hint="default" w:ascii="Times New Roman" w:hAnsi="Times New Roman" w:eastAsia="宋体" w:cs="Times New Roman"/>
                <w:color w:val="auto"/>
                <w:szCs w:val="21"/>
                <w:highlight w:val="none"/>
              </w:rPr>
              <w:t>：</w:t>
            </w:r>
            <w:r>
              <w:rPr>
                <w:rFonts w:ascii="Times New Roman" w:hAnsi="Times New Roman" w:cs="Times New Roman"/>
                <w:color w:val="auto"/>
                <w:szCs w:val="21"/>
                <w:highlight w:val="none"/>
              </w:rPr>
              <w:t>环氧云母氧化铁漆</w:t>
            </w:r>
            <w:r>
              <w:rPr>
                <w:rFonts w:hint="eastAsia" w:ascii="Times New Roman" w:hAnsi="Times New Roman" w:eastAsia="宋体" w:cs="Times New Roman"/>
                <w:color w:val="auto"/>
                <w:szCs w:val="21"/>
                <w:highlight w:val="none"/>
                <w:lang w:val="en-US" w:eastAsia="zh-CN"/>
              </w:rPr>
              <w:t>B组分</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4</w:t>
            </w:r>
            <w:r>
              <w:rPr>
                <w:rFonts w:hint="default" w:ascii="Times New Roman" w:hAnsi="Times New Roman" w:eastAsia="宋体" w:cs="Times New Roman"/>
                <w:color w:val="auto"/>
                <w:szCs w:val="21"/>
                <w:highlight w:val="none"/>
              </w:rPr>
              <w:t>：1</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稀释剂约占工作漆料10%（质量比）</w:t>
            </w:r>
            <w:r>
              <w:rPr>
                <w:rFonts w:hint="default" w:ascii="Times New Roman" w:hAnsi="Times New Roman" w:eastAsia="宋体" w:cs="Times New Roman"/>
                <w:color w:val="auto"/>
                <w:szCs w:val="21"/>
                <w:highlight w:val="none"/>
              </w:rPr>
              <w:t>。</w:t>
            </w:r>
            <w:r>
              <w:rPr>
                <w:rFonts w:ascii="Times New Roman" w:hAnsi="Times New Roman" w:cs="Times New Roman"/>
                <w:color w:val="auto"/>
                <w:szCs w:val="21"/>
                <w:highlight w:val="none"/>
              </w:rPr>
              <w:t>环氧云母氧化铁漆A组分</w:t>
            </w:r>
            <w:r>
              <w:rPr>
                <w:rFonts w:hint="default" w:ascii="Times New Roman" w:hAnsi="Times New Roman" w:eastAsia="宋体" w:cs="Times New Roman"/>
                <w:color w:val="auto"/>
                <w:szCs w:val="21"/>
                <w:highlight w:val="none"/>
              </w:rPr>
              <w:t>的密度为1.</w:t>
            </w:r>
            <w:r>
              <w:rPr>
                <w:rFonts w:hint="eastAsia" w:ascii="Times New Roman" w:hAnsi="Times New Roman" w:eastAsia="宋体" w:cs="Times New Roman"/>
                <w:color w:val="auto"/>
                <w:szCs w:val="21"/>
                <w:highlight w:val="none"/>
                <w:lang w:val="en-US" w:eastAsia="zh-CN"/>
              </w:rPr>
              <w:t>67</w:t>
            </w:r>
            <w:r>
              <w:rPr>
                <w:rFonts w:hint="default" w:ascii="Times New Roman" w:hAnsi="Times New Roman" w:eastAsia="宋体" w:cs="Times New Roman"/>
                <w:color w:val="auto"/>
                <w:szCs w:val="21"/>
                <w:highlight w:val="none"/>
              </w:rPr>
              <w:t>g/cm³，</w:t>
            </w:r>
            <w:r>
              <w:rPr>
                <w:rFonts w:ascii="Times New Roman" w:hAnsi="Times New Roman" w:cs="Times New Roman"/>
                <w:color w:val="auto"/>
                <w:szCs w:val="21"/>
                <w:highlight w:val="none"/>
              </w:rPr>
              <w:t>环氧云母氧化铁漆</w:t>
            </w:r>
            <w:r>
              <w:rPr>
                <w:rFonts w:hint="eastAsia" w:ascii="Times New Roman" w:hAnsi="Times New Roman" w:cs="Times New Roman"/>
                <w:color w:val="auto"/>
                <w:szCs w:val="21"/>
                <w:highlight w:val="none"/>
                <w:lang w:val="en-US" w:eastAsia="zh-CN"/>
              </w:rPr>
              <w:t>B</w:t>
            </w:r>
            <w:r>
              <w:rPr>
                <w:rFonts w:ascii="Times New Roman" w:hAnsi="Times New Roman" w:cs="Times New Roman"/>
                <w:color w:val="auto"/>
                <w:szCs w:val="21"/>
                <w:highlight w:val="none"/>
              </w:rPr>
              <w:t>组分</w:t>
            </w:r>
            <w:r>
              <w:rPr>
                <w:rFonts w:hint="default" w:ascii="Times New Roman" w:hAnsi="Times New Roman" w:eastAsia="宋体" w:cs="Times New Roman"/>
                <w:color w:val="auto"/>
                <w:szCs w:val="21"/>
                <w:highlight w:val="none"/>
              </w:rPr>
              <w:t>的密度为</w:t>
            </w:r>
            <w:r>
              <w:rPr>
                <w:rFonts w:hint="eastAsia" w:ascii="Times New Roman" w:hAnsi="Times New Roman" w:eastAsia="宋体" w:cs="Times New Roman"/>
                <w:color w:val="auto"/>
                <w:szCs w:val="21"/>
                <w:highlight w:val="none"/>
                <w:lang w:val="en-US" w:eastAsia="zh-CN"/>
              </w:rPr>
              <w:t>0.97</w:t>
            </w:r>
            <w:r>
              <w:rPr>
                <w:rFonts w:hint="default" w:ascii="Times New Roman" w:hAnsi="Times New Roman" w:eastAsia="宋体" w:cs="Times New Roman"/>
                <w:color w:val="auto"/>
                <w:szCs w:val="21"/>
                <w:highlight w:val="none"/>
              </w:rPr>
              <w:t>g/cm³，稀释剂密度为0.</w:t>
            </w:r>
            <w:r>
              <w:rPr>
                <w:rFonts w:hint="eastAsia" w:ascii="Times New Roman" w:hAnsi="Times New Roman" w:eastAsia="宋体" w:cs="Times New Roman"/>
                <w:color w:val="auto"/>
                <w:szCs w:val="21"/>
                <w:highlight w:val="none"/>
                <w:lang w:val="en-US" w:eastAsia="zh-CN"/>
              </w:rPr>
              <w:t>8274</w:t>
            </w:r>
            <w:r>
              <w:rPr>
                <w:rFonts w:hint="default" w:ascii="Times New Roman" w:hAnsi="Times New Roman" w:eastAsia="宋体" w:cs="Times New Roman"/>
                <w:color w:val="auto"/>
                <w:szCs w:val="21"/>
                <w:highlight w:val="none"/>
              </w:rPr>
              <w:t>g/cm³。因此，工作状态下各漆料的质量比为</w:t>
            </w:r>
            <w:r>
              <w:rPr>
                <w:rFonts w:hint="eastAsia" w:cs="Times New Roman"/>
                <w:color w:val="auto"/>
                <w:szCs w:val="21"/>
                <w:highlight w:val="none"/>
                <w:lang w:val="en-US" w:eastAsia="zh-CN"/>
              </w:rPr>
              <w:t>A组分</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B组分</w:t>
            </w:r>
            <w:r>
              <w:rPr>
                <w:rFonts w:hint="default" w:ascii="Times New Roman" w:hAnsi="Times New Roman" w:eastAsia="宋体" w:cs="Times New Roman"/>
                <w:color w:val="auto"/>
                <w:szCs w:val="21"/>
                <w:highlight w:val="none"/>
              </w:rPr>
              <w:t>：</w:t>
            </w:r>
            <w:r>
              <w:rPr>
                <w:rFonts w:hint="eastAsia" w:cs="Times New Roman"/>
                <w:color w:val="auto"/>
                <w:szCs w:val="21"/>
                <w:highlight w:val="none"/>
                <w:lang w:val="en-US" w:eastAsia="zh-CN"/>
              </w:rPr>
              <w:t>稀释</w:t>
            </w:r>
            <w:r>
              <w:rPr>
                <w:rFonts w:hint="default" w:ascii="Times New Roman" w:hAnsi="Times New Roman" w:eastAsia="宋体" w:cs="Times New Roman"/>
                <w:color w:val="auto"/>
                <w:szCs w:val="21"/>
                <w:highlight w:val="none"/>
              </w:rPr>
              <w:t>剂=</w:t>
            </w:r>
            <w:r>
              <w:rPr>
                <w:rFonts w:hint="eastAsia" w:ascii="Times New Roman" w:hAnsi="Times New Roman" w:eastAsia="宋体" w:cs="Times New Roman"/>
                <w:color w:val="auto"/>
                <w:szCs w:val="21"/>
                <w:highlight w:val="none"/>
                <w:lang w:val="en-US" w:eastAsia="zh-CN"/>
              </w:rPr>
              <w:t>66.8</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9.7</w:t>
            </w:r>
            <w:r>
              <w:rPr>
                <w:rFonts w:hint="default" w:ascii="Times New Roman" w:hAnsi="Times New Roman" w:eastAsia="宋体" w:cs="Times New Roman"/>
                <w:color w:val="auto"/>
                <w:szCs w:val="21"/>
                <w:highlight w:val="none"/>
              </w:rPr>
              <w:t>：</w:t>
            </w:r>
            <w:r>
              <w:rPr>
                <w:rFonts w:hint="eastAsia" w:ascii="Times New Roman" w:hAnsi="Times New Roman" w:eastAsia="宋体" w:cs="Times New Roman"/>
                <w:color w:val="auto"/>
                <w:szCs w:val="21"/>
                <w:highlight w:val="none"/>
                <w:lang w:val="en-US" w:eastAsia="zh-CN"/>
              </w:rPr>
              <w:t>8.5</w:t>
            </w:r>
            <w:r>
              <w:rPr>
                <w:rFonts w:hint="default" w:ascii="Times New Roman" w:hAnsi="Times New Roman" w:eastAsia="宋体" w:cs="Times New Roman"/>
                <w:color w:val="auto"/>
                <w:szCs w:val="21"/>
                <w:highlight w:val="none"/>
              </w:rPr>
              <w:t>。</w:t>
            </w:r>
          </w:p>
          <w:p>
            <w:pPr>
              <w:spacing w:line="360" w:lineRule="auto"/>
              <w:ind w:firstLine="480" w:firstLineChars="200"/>
              <w:rPr>
                <w:rFonts w:hint="default" w:ascii="Times New Roman" w:hAnsi="Times New Roman" w:cs="Times New Roman"/>
                <w:color w:val="auto"/>
                <w:kern w:val="24"/>
                <w:szCs w:val="24"/>
                <w:highlight w:val="none"/>
              </w:rPr>
            </w:pPr>
            <w:r>
              <w:rPr>
                <w:rFonts w:hint="eastAsia" w:ascii="Times New Roman" w:hAnsi="Times New Roman" w:cs="Times New Roman" w:eastAsiaTheme="minorEastAsia"/>
                <w:color w:val="auto"/>
                <w:szCs w:val="24"/>
                <w:highlight w:val="none"/>
                <w:lang w:val="en-US" w:eastAsia="zh-CN"/>
              </w:rPr>
              <w:t>伸缩式喷漆</w:t>
            </w:r>
            <w:r>
              <w:rPr>
                <w:rFonts w:hint="default" w:ascii="Times New Roman" w:hAnsi="Times New Roman" w:cs="Times New Roman" w:eastAsiaTheme="minorEastAsia"/>
                <w:color w:val="auto"/>
                <w:szCs w:val="24"/>
                <w:highlight w:val="none"/>
              </w:rPr>
              <w:t>中</w:t>
            </w:r>
            <w:r>
              <w:rPr>
                <w:rFonts w:hint="default" w:ascii="Times New Roman" w:hAnsi="Times New Roman" w:cs="Times New Roman"/>
                <w:color w:val="auto"/>
                <w:kern w:val="24"/>
                <w:szCs w:val="24"/>
                <w:highlight w:val="none"/>
              </w:rPr>
              <w:t>经配比后工作状态下</w:t>
            </w:r>
            <w:r>
              <w:rPr>
                <w:rFonts w:ascii="Times New Roman" w:hAnsi="Times New Roman" w:cs="Times New Roman"/>
                <w:color w:val="auto"/>
                <w:szCs w:val="21"/>
                <w:highlight w:val="none"/>
              </w:rPr>
              <w:t>环氧云母氧化铁漆</w:t>
            </w:r>
            <w:r>
              <w:rPr>
                <w:rFonts w:hint="default" w:ascii="Times New Roman" w:hAnsi="Times New Roman" w:cs="Times New Roman"/>
                <w:color w:val="auto"/>
                <w:kern w:val="24"/>
                <w:szCs w:val="24"/>
                <w:highlight w:val="none"/>
              </w:rPr>
              <w:t>使用量为</w:t>
            </w:r>
            <w:r>
              <w:rPr>
                <w:rFonts w:hint="eastAsia" w:ascii="Times New Roman" w:hAnsi="Times New Roman" w:cs="Times New Roman"/>
                <w:color w:val="auto"/>
                <w:kern w:val="24"/>
                <w:szCs w:val="24"/>
                <w:highlight w:val="none"/>
                <w:lang w:val="en-US" w:eastAsia="zh-CN"/>
              </w:rPr>
              <w:t>4.</w:t>
            </w:r>
            <w:r>
              <w:rPr>
                <w:rFonts w:hint="eastAsia" w:cs="Times New Roman"/>
                <w:color w:val="auto"/>
                <w:kern w:val="24"/>
                <w:szCs w:val="24"/>
                <w:highlight w:val="none"/>
                <w:lang w:val="en-US" w:eastAsia="zh-CN"/>
              </w:rPr>
              <w:t>3</w:t>
            </w:r>
            <w:r>
              <w:rPr>
                <w:rFonts w:hint="default" w:ascii="Times New Roman" w:hAnsi="Times New Roman" w:cs="Times New Roman"/>
                <w:color w:val="auto"/>
                <w:kern w:val="24"/>
                <w:szCs w:val="24"/>
                <w:highlight w:val="none"/>
              </w:rPr>
              <w:t>t/a，其中</w:t>
            </w:r>
            <w:r>
              <w:rPr>
                <w:rFonts w:hint="eastAsia" w:ascii="Times New Roman" w:hAnsi="Times New Roman" w:cs="Times New Roman"/>
                <w:color w:val="auto"/>
                <w:kern w:val="24"/>
                <w:szCs w:val="24"/>
                <w:highlight w:val="none"/>
                <w:lang w:val="en-US" w:eastAsia="zh-CN"/>
              </w:rPr>
              <w:t>A组分</w:t>
            </w:r>
            <w:r>
              <w:rPr>
                <w:rFonts w:hint="default" w:ascii="Times New Roman" w:hAnsi="Times New Roman" w:cs="Times New Roman"/>
                <w:color w:val="auto"/>
                <w:kern w:val="24"/>
                <w:szCs w:val="24"/>
                <w:highlight w:val="none"/>
              </w:rPr>
              <w:t>含量=</w:t>
            </w:r>
            <w:r>
              <w:rPr>
                <w:rFonts w:hint="eastAsia" w:cs="Times New Roman"/>
                <w:color w:val="auto"/>
                <w:kern w:val="24"/>
                <w:szCs w:val="24"/>
                <w:highlight w:val="none"/>
                <w:lang w:val="en-US" w:eastAsia="zh-CN"/>
              </w:rPr>
              <w:t>4.4</w:t>
            </w:r>
            <w:r>
              <w:rPr>
                <w:rFonts w:hint="default" w:ascii="Times New Roman" w:hAnsi="Times New Roman" w:cs="Times New Roman"/>
                <w:color w:val="auto"/>
                <w:kern w:val="24"/>
                <w:szCs w:val="24"/>
                <w:highlight w:val="none"/>
              </w:rPr>
              <w:t>×</w:t>
            </w:r>
            <w:r>
              <w:rPr>
                <w:rFonts w:hint="eastAsia" w:cs="Times New Roman"/>
                <w:color w:val="auto"/>
                <w:kern w:val="24"/>
                <w:szCs w:val="24"/>
                <w:highlight w:val="none"/>
                <w:lang w:val="en-US" w:eastAsia="zh-CN"/>
              </w:rPr>
              <w:t>66.8</w:t>
            </w:r>
            <w:r>
              <w:rPr>
                <w:rFonts w:hint="default" w:ascii="Times New Roman" w:hAnsi="Times New Roman" w:cs="Times New Roman"/>
                <w:color w:val="auto"/>
                <w:kern w:val="24"/>
                <w:szCs w:val="24"/>
                <w:highlight w:val="none"/>
              </w:rPr>
              <w:t>÷（</w:t>
            </w:r>
            <w:r>
              <w:rPr>
                <w:rFonts w:hint="eastAsia" w:cs="Times New Roman"/>
                <w:color w:val="auto"/>
                <w:kern w:val="24"/>
                <w:szCs w:val="24"/>
                <w:highlight w:val="none"/>
                <w:lang w:val="en-US" w:eastAsia="zh-CN"/>
              </w:rPr>
              <w:t>66</w:t>
            </w:r>
            <w:r>
              <w:rPr>
                <w:rFonts w:hint="eastAsia" w:ascii="Times New Roman" w:hAnsi="Times New Roman" w:cs="Times New Roman"/>
                <w:color w:val="auto"/>
                <w:kern w:val="24"/>
                <w:szCs w:val="24"/>
                <w:highlight w:val="none"/>
                <w:lang w:val="en-US" w:eastAsia="zh-CN"/>
              </w:rPr>
              <w:t>.8</w:t>
            </w:r>
            <w:r>
              <w:rPr>
                <w:rFonts w:hint="default" w:ascii="Times New Roman" w:hAnsi="Times New Roman" w:cs="Times New Roman"/>
                <w:color w:val="auto"/>
                <w:kern w:val="24"/>
                <w:szCs w:val="24"/>
                <w:highlight w:val="none"/>
              </w:rPr>
              <w:t>+</w:t>
            </w:r>
            <w:r>
              <w:rPr>
                <w:rFonts w:hint="eastAsia" w:ascii="Times New Roman" w:hAnsi="Times New Roman" w:cs="Times New Roman"/>
                <w:color w:val="auto"/>
                <w:kern w:val="24"/>
                <w:szCs w:val="24"/>
                <w:highlight w:val="none"/>
                <w:lang w:val="en-US" w:eastAsia="zh-CN"/>
              </w:rPr>
              <w:t>9</w:t>
            </w:r>
            <w:r>
              <w:rPr>
                <w:rFonts w:hint="eastAsia" w:cs="Times New Roman"/>
                <w:color w:val="auto"/>
                <w:kern w:val="24"/>
                <w:szCs w:val="24"/>
                <w:highlight w:val="none"/>
                <w:lang w:val="en-US" w:eastAsia="zh-CN"/>
              </w:rPr>
              <w:t>.7</w:t>
            </w:r>
            <w:r>
              <w:rPr>
                <w:rFonts w:hint="default" w:ascii="Times New Roman" w:hAnsi="Times New Roman" w:cs="Times New Roman"/>
                <w:color w:val="auto"/>
                <w:kern w:val="24"/>
                <w:szCs w:val="24"/>
                <w:highlight w:val="none"/>
              </w:rPr>
              <w:t>+</w:t>
            </w:r>
            <w:r>
              <w:rPr>
                <w:rFonts w:hint="eastAsia" w:cs="Times New Roman"/>
                <w:color w:val="auto"/>
                <w:kern w:val="24"/>
                <w:szCs w:val="24"/>
                <w:highlight w:val="none"/>
                <w:lang w:val="en-US" w:eastAsia="zh-CN"/>
              </w:rPr>
              <w:t>8.5</w:t>
            </w:r>
            <w:r>
              <w:rPr>
                <w:rFonts w:hint="default" w:ascii="Times New Roman" w:hAnsi="Times New Roman" w:cs="Times New Roman"/>
                <w:color w:val="auto"/>
                <w:kern w:val="24"/>
                <w:szCs w:val="24"/>
                <w:highlight w:val="none"/>
              </w:rPr>
              <w:t>）=</w:t>
            </w:r>
            <w:r>
              <w:rPr>
                <w:rFonts w:hint="eastAsia" w:cs="Times New Roman"/>
                <w:color w:val="auto"/>
                <w:kern w:val="24"/>
                <w:szCs w:val="24"/>
                <w:highlight w:val="none"/>
                <w:lang w:val="en-US" w:eastAsia="zh-CN"/>
              </w:rPr>
              <w:t>3.46</w:t>
            </w:r>
            <w:r>
              <w:rPr>
                <w:rFonts w:hint="default" w:ascii="Times New Roman" w:hAnsi="Times New Roman" w:cs="Times New Roman"/>
                <w:color w:val="auto"/>
                <w:kern w:val="24"/>
                <w:szCs w:val="24"/>
                <w:highlight w:val="none"/>
              </w:rPr>
              <w:t>t/a，</w:t>
            </w:r>
            <w:r>
              <w:rPr>
                <w:rFonts w:hint="eastAsia" w:cs="Times New Roman"/>
                <w:color w:val="auto"/>
                <w:kern w:val="24"/>
                <w:szCs w:val="24"/>
                <w:highlight w:val="none"/>
                <w:lang w:val="en-US" w:eastAsia="zh-CN"/>
              </w:rPr>
              <w:t>B组分</w:t>
            </w:r>
            <w:r>
              <w:rPr>
                <w:rFonts w:hint="default" w:ascii="Times New Roman" w:hAnsi="Times New Roman" w:cs="Times New Roman"/>
                <w:color w:val="auto"/>
                <w:kern w:val="24"/>
                <w:szCs w:val="24"/>
                <w:highlight w:val="none"/>
              </w:rPr>
              <w:t>含量=</w:t>
            </w:r>
            <w:r>
              <w:rPr>
                <w:rFonts w:hint="eastAsia" w:cs="Times New Roman"/>
                <w:color w:val="auto"/>
                <w:kern w:val="24"/>
                <w:szCs w:val="24"/>
                <w:highlight w:val="none"/>
                <w:lang w:val="en-US" w:eastAsia="zh-CN"/>
              </w:rPr>
              <w:t>4.4</w:t>
            </w:r>
            <w:r>
              <w:rPr>
                <w:rFonts w:hint="default" w:ascii="Times New Roman" w:hAnsi="Times New Roman" w:cs="Times New Roman"/>
                <w:color w:val="auto"/>
                <w:kern w:val="24"/>
                <w:szCs w:val="24"/>
                <w:highlight w:val="none"/>
              </w:rPr>
              <w:t>×</w:t>
            </w:r>
            <w:r>
              <w:rPr>
                <w:rFonts w:hint="eastAsia" w:cs="Times New Roman"/>
                <w:color w:val="auto"/>
                <w:kern w:val="24"/>
                <w:szCs w:val="24"/>
                <w:highlight w:val="none"/>
                <w:lang w:val="en-US" w:eastAsia="zh-CN"/>
              </w:rPr>
              <w:t>9.7</w:t>
            </w:r>
            <w:r>
              <w:rPr>
                <w:rFonts w:hint="default" w:ascii="Times New Roman" w:hAnsi="Times New Roman" w:cs="Times New Roman"/>
                <w:color w:val="auto"/>
                <w:kern w:val="24"/>
                <w:szCs w:val="24"/>
                <w:highlight w:val="none"/>
              </w:rPr>
              <w:t>÷（</w:t>
            </w:r>
            <w:r>
              <w:rPr>
                <w:rFonts w:hint="eastAsia" w:cs="Times New Roman"/>
                <w:color w:val="auto"/>
                <w:kern w:val="24"/>
                <w:szCs w:val="24"/>
                <w:highlight w:val="none"/>
                <w:lang w:val="en-US" w:eastAsia="zh-CN"/>
              </w:rPr>
              <w:t>66</w:t>
            </w:r>
            <w:r>
              <w:rPr>
                <w:rFonts w:hint="eastAsia" w:ascii="Times New Roman" w:hAnsi="Times New Roman" w:cs="Times New Roman"/>
                <w:color w:val="auto"/>
                <w:kern w:val="24"/>
                <w:szCs w:val="24"/>
                <w:highlight w:val="none"/>
                <w:lang w:val="en-US" w:eastAsia="zh-CN"/>
              </w:rPr>
              <w:t>.8</w:t>
            </w:r>
            <w:r>
              <w:rPr>
                <w:rFonts w:hint="default" w:ascii="Times New Roman" w:hAnsi="Times New Roman" w:cs="Times New Roman"/>
                <w:color w:val="auto"/>
                <w:kern w:val="24"/>
                <w:szCs w:val="24"/>
                <w:highlight w:val="none"/>
              </w:rPr>
              <w:t>+</w:t>
            </w:r>
            <w:r>
              <w:rPr>
                <w:rFonts w:hint="eastAsia" w:ascii="Times New Roman" w:hAnsi="Times New Roman" w:cs="Times New Roman"/>
                <w:color w:val="auto"/>
                <w:kern w:val="24"/>
                <w:szCs w:val="24"/>
                <w:highlight w:val="none"/>
                <w:lang w:val="en-US" w:eastAsia="zh-CN"/>
              </w:rPr>
              <w:t>9</w:t>
            </w:r>
            <w:r>
              <w:rPr>
                <w:rFonts w:hint="eastAsia" w:cs="Times New Roman"/>
                <w:color w:val="auto"/>
                <w:kern w:val="24"/>
                <w:szCs w:val="24"/>
                <w:highlight w:val="none"/>
                <w:lang w:val="en-US" w:eastAsia="zh-CN"/>
              </w:rPr>
              <w:t>.7</w:t>
            </w:r>
            <w:r>
              <w:rPr>
                <w:rFonts w:hint="default" w:ascii="Times New Roman" w:hAnsi="Times New Roman" w:cs="Times New Roman"/>
                <w:color w:val="auto"/>
                <w:kern w:val="24"/>
                <w:szCs w:val="24"/>
                <w:highlight w:val="none"/>
              </w:rPr>
              <w:t>+</w:t>
            </w:r>
            <w:r>
              <w:rPr>
                <w:rFonts w:hint="eastAsia" w:cs="Times New Roman"/>
                <w:color w:val="auto"/>
                <w:kern w:val="24"/>
                <w:szCs w:val="24"/>
                <w:highlight w:val="none"/>
                <w:lang w:val="en-US" w:eastAsia="zh-CN"/>
              </w:rPr>
              <w:t>8.5</w:t>
            </w:r>
            <w:r>
              <w:rPr>
                <w:rFonts w:hint="default" w:ascii="Times New Roman" w:hAnsi="Times New Roman" w:cs="Times New Roman"/>
                <w:color w:val="auto"/>
                <w:kern w:val="24"/>
                <w:szCs w:val="24"/>
                <w:highlight w:val="none"/>
              </w:rPr>
              <w:t>）=0.</w:t>
            </w:r>
            <w:r>
              <w:rPr>
                <w:rFonts w:hint="eastAsia" w:cs="Times New Roman"/>
                <w:color w:val="auto"/>
                <w:kern w:val="24"/>
                <w:szCs w:val="24"/>
                <w:highlight w:val="none"/>
                <w:lang w:val="en-US" w:eastAsia="zh-CN"/>
              </w:rPr>
              <w:t>50</w:t>
            </w:r>
            <w:r>
              <w:rPr>
                <w:rFonts w:hint="default" w:ascii="Times New Roman" w:hAnsi="Times New Roman" w:cs="Times New Roman"/>
                <w:color w:val="auto"/>
                <w:kern w:val="24"/>
                <w:szCs w:val="24"/>
                <w:highlight w:val="none"/>
              </w:rPr>
              <w:t>t/a，</w:t>
            </w:r>
            <w:r>
              <w:rPr>
                <w:rFonts w:hint="eastAsia" w:cs="Times New Roman"/>
                <w:color w:val="auto"/>
                <w:kern w:val="24"/>
                <w:szCs w:val="24"/>
                <w:highlight w:val="none"/>
                <w:lang w:val="en-US" w:eastAsia="zh-CN"/>
              </w:rPr>
              <w:t>稀释剂</w:t>
            </w:r>
            <w:r>
              <w:rPr>
                <w:rFonts w:hint="default" w:ascii="Times New Roman" w:hAnsi="Times New Roman" w:cs="Times New Roman"/>
                <w:color w:val="auto"/>
                <w:kern w:val="24"/>
                <w:szCs w:val="24"/>
                <w:highlight w:val="none"/>
              </w:rPr>
              <w:t>含量=</w:t>
            </w:r>
            <w:r>
              <w:rPr>
                <w:rFonts w:hint="eastAsia" w:cs="Times New Roman"/>
                <w:color w:val="auto"/>
                <w:kern w:val="24"/>
                <w:szCs w:val="24"/>
                <w:highlight w:val="none"/>
                <w:lang w:val="en-US" w:eastAsia="zh-CN"/>
              </w:rPr>
              <w:t>4.4</w:t>
            </w:r>
            <w:r>
              <w:rPr>
                <w:rFonts w:hint="default" w:ascii="Times New Roman" w:hAnsi="Times New Roman" w:cs="Times New Roman"/>
                <w:color w:val="auto"/>
                <w:kern w:val="24"/>
                <w:szCs w:val="24"/>
                <w:highlight w:val="none"/>
              </w:rPr>
              <w:t>×</w:t>
            </w:r>
            <w:r>
              <w:rPr>
                <w:rFonts w:hint="eastAsia" w:cs="Times New Roman"/>
                <w:color w:val="auto"/>
                <w:kern w:val="24"/>
                <w:szCs w:val="24"/>
                <w:highlight w:val="none"/>
                <w:lang w:val="en-US" w:eastAsia="zh-CN"/>
              </w:rPr>
              <w:t>8.5</w:t>
            </w:r>
            <w:r>
              <w:rPr>
                <w:rFonts w:hint="default" w:ascii="Times New Roman" w:hAnsi="Times New Roman" w:cs="Times New Roman"/>
                <w:color w:val="auto"/>
                <w:kern w:val="24"/>
                <w:szCs w:val="24"/>
                <w:highlight w:val="none"/>
              </w:rPr>
              <w:t>÷（</w:t>
            </w:r>
            <w:r>
              <w:rPr>
                <w:rFonts w:hint="eastAsia" w:cs="Times New Roman"/>
                <w:color w:val="auto"/>
                <w:kern w:val="24"/>
                <w:szCs w:val="24"/>
                <w:highlight w:val="none"/>
                <w:lang w:val="en-US" w:eastAsia="zh-CN"/>
              </w:rPr>
              <w:t>66</w:t>
            </w:r>
            <w:r>
              <w:rPr>
                <w:rFonts w:hint="eastAsia" w:ascii="Times New Roman" w:hAnsi="Times New Roman" w:cs="Times New Roman"/>
                <w:color w:val="auto"/>
                <w:kern w:val="24"/>
                <w:szCs w:val="24"/>
                <w:highlight w:val="none"/>
                <w:lang w:val="en-US" w:eastAsia="zh-CN"/>
              </w:rPr>
              <w:t>.8</w:t>
            </w:r>
            <w:r>
              <w:rPr>
                <w:rFonts w:hint="default" w:ascii="Times New Roman" w:hAnsi="Times New Roman" w:cs="Times New Roman"/>
                <w:color w:val="auto"/>
                <w:kern w:val="24"/>
                <w:szCs w:val="24"/>
                <w:highlight w:val="none"/>
              </w:rPr>
              <w:t>+</w:t>
            </w:r>
            <w:r>
              <w:rPr>
                <w:rFonts w:hint="eastAsia" w:ascii="Times New Roman" w:hAnsi="Times New Roman" w:cs="Times New Roman"/>
                <w:color w:val="auto"/>
                <w:kern w:val="24"/>
                <w:szCs w:val="24"/>
                <w:highlight w:val="none"/>
                <w:lang w:val="en-US" w:eastAsia="zh-CN"/>
              </w:rPr>
              <w:t>9</w:t>
            </w:r>
            <w:r>
              <w:rPr>
                <w:rFonts w:hint="eastAsia" w:cs="Times New Roman"/>
                <w:color w:val="auto"/>
                <w:kern w:val="24"/>
                <w:szCs w:val="24"/>
                <w:highlight w:val="none"/>
                <w:lang w:val="en-US" w:eastAsia="zh-CN"/>
              </w:rPr>
              <w:t>.7</w:t>
            </w:r>
            <w:r>
              <w:rPr>
                <w:rFonts w:hint="default" w:ascii="Times New Roman" w:hAnsi="Times New Roman" w:cs="Times New Roman"/>
                <w:color w:val="auto"/>
                <w:kern w:val="24"/>
                <w:szCs w:val="24"/>
                <w:highlight w:val="none"/>
              </w:rPr>
              <w:t>+</w:t>
            </w:r>
            <w:r>
              <w:rPr>
                <w:rFonts w:hint="eastAsia" w:cs="Times New Roman"/>
                <w:color w:val="auto"/>
                <w:kern w:val="24"/>
                <w:szCs w:val="24"/>
                <w:highlight w:val="none"/>
                <w:lang w:val="en-US" w:eastAsia="zh-CN"/>
              </w:rPr>
              <w:t>8.5</w:t>
            </w:r>
            <w:r>
              <w:rPr>
                <w:rFonts w:hint="default" w:ascii="Times New Roman" w:hAnsi="Times New Roman" w:cs="Times New Roman"/>
                <w:color w:val="auto"/>
                <w:kern w:val="24"/>
                <w:szCs w:val="24"/>
                <w:highlight w:val="none"/>
              </w:rPr>
              <w:t>）=0.4</w:t>
            </w:r>
            <w:r>
              <w:rPr>
                <w:rFonts w:hint="eastAsia" w:cs="Times New Roman"/>
                <w:color w:val="auto"/>
                <w:kern w:val="24"/>
                <w:szCs w:val="24"/>
                <w:highlight w:val="none"/>
                <w:lang w:val="en-US" w:eastAsia="zh-CN"/>
              </w:rPr>
              <w:t>4</w:t>
            </w:r>
            <w:r>
              <w:rPr>
                <w:rFonts w:hint="default" w:ascii="Times New Roman" w:hAnsi="Times New Roman" w:cs="Times New Roman"/>
                <w:color w:val="auto"/>
                <w:kern w:val="24"/>
                <w:szCs w:val="24"/>
                <w:highlight w:val="none"/>
              </w:rPr>
              <w:t>t/a。</w:t>
            </w:r>
          </w:p>
          <w:p>
            <w:pPr>
              <w:spacing w:line="360" w:lineRule="auto"/>
              <w:ind w:firstLine="480" w:firstLineChars="200"/>
              <w:rPr>
                <w:rFonts w:hint="default"/>
                <w:color w:val="auto"/>
                <w:highlight w:val="none"/>
                <w:lang w:val="en-US"/>
              </w:rPr>
            </w:pPr>
            <w:r>
              <w:rPr>
                <w:rFonts w:hint="default" w:ascii="Times New Roman" w:hAnsi="Times New Roman" w:cs="Times New Roman"/>
                <w:color w:val="auto"/>
                <w:kern w:val="24"/>
                <w:szCs w:val="24"/>
                <w:highlight w:val="none"/>
              </w:rPr>
              <w:t>综上，</w:t>
            </w:r>
            <w:r>
              <w:rPr>
                <w:rFonts w:hint="eastAsia" w:cs="Times New Roman"/>
                <w:color w:val="auto"/>
                <w:kern w:val="24"/>
                <w:szCs w:val="24"/>
                <w:highlight w:val="none"/>
                <w:lang w:val="en-US" w:eastAsia="zh-CN"/>
              </w:rPr>
              <w:t>本项目</w:t>
            </w:r>
            <w:r>
              <w:rPr>
                <w:rFonts w:ascii="Times New Roman" w:hAnsi="Times New Roman" w:cs="Times New Roman"/>
                <w:color w:val="auto"/>
                <w:szCs w:val="21"/>
                <w:highlight w:val="none"/>
              </w:rPr>
              <w:t>环氧有机富锌底漆</w:t>
            </w:r>
            <w:r>
              <w:rPr>
                <w:rFonts w:hint="eastAsia" w:ascii="Times New Roman" w:hAnsi="Times New Roman" w:cs="Times New Roman"/>
                <w:color w:val="auto"/>
                <w:szCs w:val="21"/>
                <w:highlight w:val="none"/>
                <w:lang w:val="en-US" w:eastAsia="zh-CN"/>
              </w:rPr>
              <w:t>A组分</w:t>
            </w:r>
            <w:r>
              <w:rPr>
                <w:rFonts w:hint="eastAsia" w:cs="Times New Roman"/>
                <w:color w:val="auto"/>
                <w:szCs w:val="21"/>
                <w:highlight w:val="none"/>
                <w:lang w:val="en-US" w:eastAsia="zh-CN"/>
              </w:rPr>
              <w:t>核算使用量为3.18t/a，</w:t>
            </w:r>
            <w:r>
              <w:rPr>
                <w:rFonts w:ascii="Times New Roman" w:hAnsi="Times New Roman" w:cs="Times New Roman"/>
                <w:color w:val="auto"/>
                <w:szCs w:val="21"/>
                <w:highlight w:val="none"/>
              </w:rPr>
              <w:t>环氧有机富锌底漆</w:t>
            </w:r>
            <w:r>
              <w:rPr>
                <w:rFonts w:hint="eastAsia" w:cs="Times New Roman"/>
                <w:color w:val="auto"/>
                <w:szCs w:val="21"/>
                <w:highlight w:val="none"/>
                <w:lang w:val="en-US" w:eastAsia="zh-CN"/>
              </w:rPr>
              <w:t>B</w:t>
            </w:r>
            <w:r>
              <w:rPr>
                <w:rFonts w:hint="eastAsia" w:ascii="Times New Roman" w:hAnsi="Times New Roman" w:cs="Times New Roman"/>
                <w:color w:val="auto"/>
                <w:szCs w:val="21"/>
                <w:highlight w:val="none"/>
                <w:lang w:val="en-US" w:eastAsia="zh-CN"/>
              </w:rPr>
              <w:t>组分</w:t>
            </w:r>
            <w:r>
              <w:rPr>
                <w:rFonts w:hint="eastAsia" w:cs="Times New Roman"/>
                <w:color w:val="auto"/>
                <w:szCs w:val="21"/>
                <w:highlight w:val="none"/>
                <w:lang w:val="en-US" w:eastAsia="zh-CN"/>
              </w:rPr>
              <w:t>核算使用量为0.51t/a，</w:t>
            </w:r>
            <w:r>
              <w:rPr>
                <w:rFonts w:ascii="Times New Roman" w:hAnsi="Times New Roman" w:cs="Times New Roman"/>
                <w:color w:val="auto"/>
                <w:szCs w:val="21"/>
                <w:highlight w:val="none"/>
              </w:rPr>
              <w:t>环氧云母氧化铁漆A组分</w:t>
            </w:r>
            <w:r>
              <w:rPr>
                <w:rFonts w:hint="eastAsia" w:cs="Times New Roman"/>
                <w:color w:val="auto"/>
                <w:szCs w:val="21"/>
                <w:highlight w:val="none"/>
                <w:lang w:val="en-US" w:eastAsia="zh-CN"/>
              </w:rPr>
              <w:t>核算使用量为3.46t/a，</w:t>
            </w:r>
            <w:r>
              <w:rPr>
                <w:rFonts w:ascii="Times New Roman" w:hAnsi="Times New Roman" w:cs="Times New Roman"/>
                <w:color w:val="auto"/>
                <w:szCs w:val="21"/>
                <w:highlight w:val="none"/>
              </w:rPr>
              <w:t>环氧云母氧化铁漆</w:t>
            </w:r>
            <w:r>
              <w:rPr>
                <w:rFonts w:hint="eastAsia" w:cs="Times New Roman"/>
                <w:color w:val="auto"/>
                <w:szCs w:val="21"/>
                <w:highlight w:val="none"/>
                <w:lang w:val="en-US" w:eastAsia="zh-CN"/>
              </w:rPr>
              <w:t>B</w:t>
            </w:r>
            <w:r>
              <w:rPr>
                <w:rFonts w:ascii="Times New Roman" w:hAnsi="Times New Roman" w:cs="Times New Roman"/>
                <w:color w:val="auto"/>
                <w:szCs w:val="21"/>
                <w:highlight w:val="none"/>
              </w:rPr>
              <w:t>组分</w:t>
            </w:r>
            <w:r>
              <w:rPr>
                <w:rFonts w:hint="eastAsia" w:cs="Times New Roman"/>
                <w:color w:val="auto"/>
                <w:szCs w:val="21"/>
                <w:highlight w:val="none"/>
                <w:lang w:val="en-US" w:eastAsia="zh-CN"/>
              </w:rPr>
              <w:t>核算使用量为0.50t/a，稀释剂核算使用量为0.85t/a，</w:t>
            </w:r>
          </w:p>
          <w:p>
            <w:pPr>
              <w:spacing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kern w:val="24"/>
                <w:highlight w:val="none"/>
              </w:rPr>
              <w:t>根据企业提供的资料，本项目使用环氧有机富锌底漆</w:t>
            </w:r>
            <w:r>
              <w:rPr>
                <w:rFonts w:hint="eastAsia" w:cs="Times New Roman"/>
                <w:color w:val="auto"/>
                <w:kern w:val="24"/>
                <w:highlight w:val="none"/>
                <w:lang w:val="en-US" w:eastAsia="zh-CN"/>
              </w:rPr>
              <w:t>和</w:t>
            </w:r>
            <w:r>
              <w:rPr>
                <w:rFonts w:ascii="Times New Roman" w:hAnsi="Times New Roman" w:cs="Times New Roman"/>
                <w:color w:val="auto"/>
                <w:szCs w:val="21"/>
                <w:highlight w:val="none"/>
              </w:rPr>
              <w:t>环氧云母氧化铁漆</w:t>
            </w:r>
            <w:r>
              <w:rPr>
                <w:rFonts w:hint="default" w:ascii="Times New Roman" w:hAnsi="Times New Roman" w:cs="Times New Roman"/>
                <w:color w:val="auto"/>
                <w:kern w:val="24"/>
                <w:highlight w:val="none"/>
              </w:rPr>
              <w:t>调配后合计用漆量约</w:t>
            </w:r>
            <w:r>
              <w:rPr>
                <w:rFonts w:hint="eastAsia" w:cs="Times New Roman"/>
                <w:color w:val="auto"/>
                <w:kern w:val="24"/>
                <w:highlight w:val="none"/>
                <w:lang w:val="en-US" w:eastAsia="zh-CN"/>
              </w:rPr>
              <w:t>8.5</w:t>
            </w:r>
            <w:r>
              <w:rPr>
                <w:rFonts w:hint="default" w:ascii="Times New Roman" w:hAnsi="Times New Roman" w:cs="Times New Roman"/>
                <w:color w:val="auto"/>
                <w:kern w:val="24"/>
                <w:highlight w:val="none"/>
              </w:rPr>
              <w:t>t，其中环氧有机富锌底漆</w:t>
            </w:r>
            <w:r>
              <w:rPr>
                <w:rFonts w:hint="eastAsia" w:cs="Times New Roman"/>
                <w:color w:val="auto"/>
                <w:kern w:val="24"/>
                <w:highlight w:val="none"/>
                <w:lang w:val="en-US" w:eastAsia="zh-CN"/>
              </w:rPr>
              <w:t>3.7</w:t>
            </w:r>
            <w:r>
              <w:rPr>
                <w:rFonts w:hint="default" w:ascii="Times New Roman" w:hAnsi="Times New Roman" w:cs="Times New Roman"/>
                <w:color w:val="auto"/>
                <w:kern w:val="24"/>
                <w:highlight w:val="none"/>
              </w:rPr>
              <w:t>t/a，</w:t>
            </w:r>
            <w:r>
              <w:rPr>
                <w:rFonts w:ascii="Times New Roman" w:hAnsi="Times New Roman" w:cs="Times New Roman"/>
                <w:color w:val="auto"/>
                <w:szCs w:val="21"/>
                <w:highlight w:val="none"/>
              </w:rPr>
              <w:t>环氧云母氧化铁漆</w:t>
            </w:r>
            <w:r>
              <w:rPr>
                <w:rFonts w:hint="eastAsia" w:cs="Times New Roman"/>
                <w:color w:val="auto"/>
                <w:kern w:val="24"/>
                <w:highlight w:val="none"/>
                <w:lang w:val="en-US" w:eastAsia="zh-CN"/>
              </w:rPr>
              <w:t>3.9</w:t>
            </w:r>
            <w:r>
              <w:rPr>
                <w:rFonts w:hint="default" w:ascii="Times New Roman" w:hAnsi="Times New Roman" w:cs="Times New Roman"/>
                <w:color w:val="auto"/>
                <w:kern w:val="24"/>
                <w:highlight w:val="none"/>
              </w:rPr>
              <w:t>t/a，稀释剂0.9t/a</w:t>
            </w:r>
            <w:r>
              <w:rPr>
                <w:rFonts w:hint="eastAsia" w:cs="Times New Roman"/>
                <w:color w:val="auto"/>
                <w:kern w:val="24"/>
                <w:highlight w:val="none"/>
                <w:lang w:eastAsia="zh-CN"/>
              </w:rPr>
              <w:t>，</w:t>
            </w:r>
            <w:r>
              <w:rPr>
                <w:rFonts w:hint="eastAsia" w:cs="Times New Roman"/>
                <w:color w:val="auto"/>
                <w:kern w:val="24"/>
                <w:highlight w:val="none"/>
                <w:lang w:val="en-US" w:eastAsia="zh-CN"/>
              </w:rPr>
              <w:t>水性漆使用量为30t/a，</w:t>
            </w:r>
            <w:r>
              <w:rPr>
                <w:rFonts w:hint="default" w:ascii="Times New Roman" w:hAnsi="Times New Roman" w:cs="Times New Roman"/>
                <w:color w:val="auto"/>
                <w:kern w:val="24"/>
                <w:highlight w:val="none"/>
              </w:rPr>
              <w:t>与</w:t>
            </w:r>
            <w:r>
              <w:rPr>
                <w:rFonts w:hint="default" w:ascii="Times New Roman" w:hAnsi="Times New Roman" w:cs="Times New Roman"/>
                <w:color w:val="auto"/>
                <w:highlight w:val="none"/>
              </w:rPr>
              <w:t>理论计算值相差不大，故本环评认为企业提供的油漆用量较合理。</w:t>
            </w:r>
            <w:r>
              <w:rPr>
                <w:rFonts w:hint="eastAsia" w:cs="Times New Roman"/>
                <w:color w:val="auto"/>
                <w:highlight w:val="none"/>
                <w:lang w:val="en-US" w:eastAsia="zh-CN"/>
              </w:rPr>
              <w:t>本项目后续污染物产生排放源强按照企业实际提供用漆量进行核算。</w:t>
            </w:r>
          </w:p>
          <w:p>
            <w:pPr>
              <w:spacing w:line="360" w:lineRule="auto"/>
              <w:jc w:val="center"/>
              <w:rPr>
                <w:rFonts w:hint="default" w:ascii="Times New Roman" w:hAnsi="Times New Roman" w:cs="Times New Roman" w:eastAsiaTheme="minorEastAsia"/>
                <w:b/>
                <w:color w:val="auto"/>
                <w:sz w:val="21"/>
                <w:szCs w:val="21"/>
                <w:highlight w:val="none"/>
              </w:rPr>
            </w:pPr>
            <w:r>
              <w:rPr>
                <w:rFonts w:hint="default" w:ascii="Times New Roman" w:hAnsi="Times New Roman" w:cs="Times New Roman" w:eastAsiaTheme="minorEastAsia"/>
                <w:b/>
                <w:color w:val="auto"/>
                <w:sz w:val="21"/>
                <w:szCs w:val="21"/>
                <w:highlight w:val="none"/>
              </w:rPr>
              <w:t>表 4-</w:t>
            </w:r>
            <w:r>
              <w:rPr>
                <w:rFonts w:hint="eastAsia" w:cs="Times New Roman" w:eastAsiaTheme="minorEastAsia"/>
                <w:b/>
                <w:color w:val="auto"/>
                <w:sz w:val="21"/>
                <w:szCs w:val="21"/>
                <w:highlight w:val="none"/>
                <w:lang w:val="en-US" w:eastAsia="zh-CN"/>
              </w:rPr>
              <w:t>4伸缩式喷漆房</w:t>
            </w:r>
            <w:r>
              <w:rPr>
                <w:rFonts w:hint="default" w:ascii="Times New Roman" w:hAnsi="Times New Roman" w:cs="Times New Roman" w:eastAsiaTheme="minorEastAsia"/>
                <w:b/>
                <w:color w:val="auto"/>
                <w:sz w:val="21"/>
                <w:szCs w:val="21"/>
                <w:highlight w:val="none"/>
              </w:rPr>
              <w:t>实际用漆量一览表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3150"/>
              <w:gridCol w:w="1752"/>
              <w:gridCol w:w="1429"/>
              <w:gridCol w:w="1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Align w:val="center"/>
                </w:tcPr>
                <w:p>
                  <w:pPr>
                    <w:pStyle w:val="92"/>
                    <w:spacing w:line="240" w:lineRule="auto"/>
                    <w:ind w:firstLine="0" w:firstLineChars="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喷涂位置</w:t>
                  </w:r>
                </w:p>
              </w:tc>
              <w:tc>
                <w:tcPr>
                  <w:tcW w:w="1733" w:type="pct"/>
                  <w:vAlign w:val="center"/>
                </w:tcPr>
                <w:p>
                  <w:pPr>
                    <w:pStyle w:val="92"/>
                    <w:spacing w:line="240" w:lineRule="auto"/>
                    <w:ind w:firstLine="0" w:firstLineChars="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漆种类</w:t>
                  </w:r>
                </w:p>
              </w:tc>
              <w:tc>
                <w:tcPr>
                  <w:tcW w:w="964" w:type="pct"/>
                  <w:vAlign w:val="center"/>
                </w:tcPr>
                <w:p>
                  <w:pPr>
                    <w:pStyle w:val="92"/>
                    <w:spacing w:line="240" w:lineRule="auto"/>
                    <w:ind w:firstLine="0" w:firstLineChars="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用漆量（t/a）</w:t>
                  </w:r>
                </w:p>
              </w:tc>
              <w:tc>
                <w:tcPr>
                  <w:tcW w:w="1573" w:type="pct"/>
                  <w:gridSpan w:val="2"/>
                  <w:vAlign w:val="center"/>
                </w:tcPr>
                <w:p>
                  <w:pPr>
                    <w:pStyle w:val="92"/>
                    <w:spacing w:line="240" w:lineRule="auto"/>
                    <w:ind w:firstLine="0" w:firstLineChars="0"/>
                    <w:jc w:val="center"/>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rPr>
                    <w:t>合计（t/a）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Merge w:val="restar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伸缩式喷漆房</w:t>
                  </w:r>
                </w:p>
              </w:tc>
              <w:tc>
                <w:tcPr>
                  <w:tcW w:w="1733" w:type="pc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eastAsia="zh-CN"/>
                    </w:rPr>
                    <w:t>环氧有机富锌底漆</w:t>
                  </w:r>
                  <w:r>
                    <w:rPr>
                      <w:rFonts w:hint="eastAsia" w:ascii="Times New Roman" w:hAnsi="Times New Roman" w:cs="Times New Roman" w:eastAsiaTheme="minorEastAsia"/>
                      <w:bCs/>
                      <w:color w:val="auto"/>
                      <w:sz w:val="21"/>
                      <w:szCs w:val="21"/>
                      <w:highlight w:val="none"/>
                      <w:lang w:val="en-US" w:eastAsia="zh-CN"/>
                    </w:rPr>
                    <w:t>A组分</w:t>
                  </w:r>
                </w:p>
              </w:tc>
              <w:tc>
                <w:tcPr>
                  <w:tcW w:w="964" w:type="pc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3.2</w:t>
                  </w:r>
                </w:p>
              </w:tc>
              <w:tc>
                <w:tcPr>
                  <w:tcW w:w="786" w:type="pct"/>
                  <w:vMerge w:val="restar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4.2</w:t>
                  </w:r>
                </w:p>
              </w:tc>
              <w:tc>
                <w:tcPr>
                  <w:tcW w:w="787" w:type="pct"/>
                  <w:vMerge w:val="restar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Merge w:val="continue"/>
                  <w:vAlign w:val="center"/>
                </w:tcPr>
                <w:p>
                  <w:pPr>
                    <w:jc w:val="center"/>
                    <w:rPr>
                      <w:rFonts w:hint="default" w:ascii="Times New Roman" w:hAnsi="Times New Roman" w:cs="Times New Roman" w:eastAsiaTheme="minorEastAsia"/>
                      <w:bCs/>
                      <w:color w:val="auto"/>
                      <w:sz w:val="21"/>
                      <w:szCs w:val="21"/>
                      <w:highlight w:val="none"/>
                      <w:lang w:val="en-US" w:eastAsia="zh-CN" w:bidi="ar-SA"/>
                    </w:rPr>
                  </w:pPr>
                </w:p>
              </w:tc>
              <w:tc>
                <w:tcPr>
                  <w:tcW w:w="1733" w:type="pc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环氧有机富锌底漆</w:t>
                  </w:r>
                  <w:r>
                    <w:rPr>
                      <w:rFonts w:hint="eastAsia" w:ascii="Times New Roman" w:hAnsi="Times New Roman" w:cs="Times New Roman" w:eastAsiaTheme="minorEastAsia"/>
                      <w:bCs/>
                      <w:color w:val="auto"/>
                      <w:sz w:val="21"/>
                      <w:szCs w:val="21"/>
                      <w:highlight w:val="none"/>
                      <w:lang w:val="en-US" w:eastAsia="zh-CN" w:bidi="ar-SA"/>
                    </w:rPr>
                    <w:t>B组分</w:t>
                  </w:r>
                </w:p>
              </w:tc>
              <w:tc>
                <w:tcPr>
                  <w:tcW w:w="964" w:type="pc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0.5</w:t>
                  </w:r>
                </w:p>
              </w:tc>
              <w:tc>
                <w:tcPr>
                  <w:tcW w:w="786" w:type="pct"/>
                  <w:vMerge w:val="continue"/>
                  <w:vAlign w:val="center"/>
                </w:tcPr>
                <w:p>
                  <w:pPr>
                    <w:pStyle w:val="82"/>
                    <w:spacing w:before="0"/>
                    <w:rPr>
                      <w:rFonts w:hint="default" w:ascii="Times New Roman" w:hAnsi="Times New Roman" w:cs="Times New Roman" w:eastAsiaTheme="minorEastAsia"/>
                      <w:bCs/>
                      <w:color w:val="auto"/>
                      <w:sz w:val="21"/>
                      <w:szCs w:val="21"/>
                      <w:highlight w:val="none"/>
                      <w:lang w:eastAsia="zh-CN"/>
                    </w:rPr>
                  </w:pPr>
                </w:p>
              </w:tc>
              <w:tc>
                <w:tcPr>
                  <w:tcW w:w="787" w:type="pct"/>
                  <w:vMerge w:val="continue"/>
                  <w:vAlign w:val="center"/>
                </w:tcPr>
                <w:p>
                  <w:pPr>
                    <w:pStyle w:val="82"/>
                    <w:spacing w:before="0"/>
                    <w:rPr>
                      <w:rFonts w:hint="default" w:ascii="Times New Roman" w:hAnsi="Times New Roman" w:cs="Times New Roman" w:eastAsiaTheme="minorEastAsia"/>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Merge w:val="continue"/>
                  <w:vAlign w:val="center"/>
                </w:tcPr>
                <w:p>
                  <w:pPr>
                    <w:jc w:val="center"/>
                    <w:rPr>
                      <w:rFonts w:hint="default" w:ascii="Times New Roman" w:hAnsi="Times New Roman" w:cs="Times New Roman" w:eastAsiaTheme="minorEastAsia"/>
                      <w:bCs/>
                      <w:color w:val="auto"/>
                      <w:sz w:val="21"/>
                      <w:szCs w:val="21"/>
                      <w:highlight w:val="none"/>
                      <w:lang w:val="en-US" w:eastAsia="zh-CN" w:bidi="ar-SA"/>
                    </w:rPr>
                  </w:pPr>
                </w:p>
              </w:tc>
              <w:tc>
                <w:tcPr>
                  <w:tcW w:w="1733" w:type="pc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稀释剂</w:t>
                  </w:r>
                </w:p>
              </w:tc>
              <w:tc>
                <w:tcPr>
                  <w:tcW w:w="964" w:type="pc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0.5</w:t>
                  </w:r>
                </w:p>
              </w:tc>
              <w:tc>
                <w:tcPr>
                  <w:tcW w:w="786" w:type="pct"/>
                  <w:vMerge w:val="continue"/>
                  <w:vAlign w:val="center"/>
                </w:tcPr>
                <w:p>
                  <w:pPr>
                    <w:pStyle w:val="82"/>
                    <w:spacing w:before="0"/>
                    <w:rPr>
                      <w:rFonts w:hint="default" w:ascii="Times New Roman" w:hAnsi="Times New Roman" w:cs="Times New Roman" w:eastAsiaTheme="minorEastAsia"/>
                      <w:bCs/>
                      <w:color w:val="auto"/>
                      <w:sz w:val="21"/>
                      <w:szCs w:val="21"/>
                      <w:highlight w:val="none"/>
                      <w:lang w:eastAsia="zh-CN"/>
                    </w:rPr>
                  </w:pPr>
                </w:p>
              </w:tc>
              <w:tc>
                <w:tcPr>
                  <w:tcW w:w="787" w:type="pct"/>
                  <w:vMerge w:val="continue"/>
                  <w:vAlign w:val="center"/>
                </w:tcPr>
                <w:p>
                  <w:pPr>
                    <w:pStyle w:val="82"/>
                    <w:spacing w:before="0"/>
                    <w:rPr>
                      <w:rFonts w:hint="default" w:ascii="Times New Roman" w:hAnsi="Times New Roman" w:cs="Times New Roman" w:eastAsiaTheme="minorEastAsia"/>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Merge w:val="continue"/>
                  <w:vAlign w:val="center"/>
                </w:tcPr>
                <w:p>
                  <w:pPr>
                    <w:pStyle w:val="82"/>
                    <w:spacing w:before="0"/>
                    <w:rPr>
                      <w:rFonts w:hint="default" w:ascii="Times New Roman" w:hAnsi="Times New Roman" w:cs="Times New Roman" w:eastAsiaTheme="minorEastAsia"/>
                      <w:bCs/>
                      <w:color w:val="auto"/>
                      <w:sz w:val="21"/>
                      <w:szCs w:val="21"/>
                      <w:highlight w:val="none"/>
                      <w:lang w:val="en-US" w:eastAsia="zh-CN" w:bidi="ar-SA"/>
                    </w:rPr>
                  </w:pPr>
                </w:p>
              </w:tc>
              <w:tc>
                <w:tcPr>
                  <w:tcW w:w="1733" w:type="pc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环氧云母氧化铁漆</w:t>
                  </w:r>
                  <w:r>
                    <w:rPr>
                      <w:rFonts w:hint="eastAsia" w:ascii="Times New Roman" w:hAnsi="Times New Roman" w:cs="Times New Roman" w:eastAsiaTheme="minorEastAsia"/>
                      <w:bCs/>
                      <w:color w:val="auto"/>
                      <w:sz w:val="21"/>
                      <w:szCs w:val="21"/>
                      <w:highlight w:val="none"/>
                      <w:lang w:val="en-US" w:eastAsia="zh-CN" w:bidi="ar-SA"/>
                    </w:rPr>
                    <w:t>A组分</w:t>
                  </w:r>
                </w:p>
              </w:tc>
              <w:tc>
                <w:tcPr>
                  <w:tcW w:w="964" w:type="pc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3.4</w:t>
                  </w:r>
                </w:p>
              </w:tc>
              <w:tc>
                <w:tcPr>
                  <w:tcW w:w="786" w:type="pct"/>
                  <w:vMerge w:val="restar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4.3</w:t>
                  </w:r>
                </w:p>
              </w:tc>
              <w:tc>
                <w:tcPr>
                  <w:tcW w:w="787" w:type="pct"/>
                  <w:vMerge w:val="continue"/>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28" w:type="pct"/>
                  <w:vMerge w:val="continue"/>
                  <w:vAlign w:val="center"/>
                </w:tcPr>
                <w:p>
                  <w:pPr>
                    <w:pStyle w:val="82"/>
                    <w:spacing w:before="0"/>
                    <w:rPr>
                      <w:rFonts w:hint="default" w:ascii="Times New Roman" w:hAnsi="Times New Roman" w:cs="Times New Roman" w:eastAsiaTheme="minorEastAsia"/>
                      <w:bCs/>
                      <w:color w:val="auto"/>
                      <w:sz w:val="21"/>
                      <w:szCs w:val="21"/>
                      <w:highlight w:val="none"/>
                      <w:lang w:val="en-US" w:eastAsia="zh-CN" w:bidi="ar-SA"/>
                    </w:rPr>
                  </w:pPr>
                </w:p>
              </w:tc>
              <w:tc>
                <w:tcPr>
                  <w:tcW w:w="1733" w:type="pc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bidi="ar-SA"/>
                    </w:rPr>
                  </w:pPr>
                  <w:r>
                    <w:rPr>
                      <w:rFonts w:hint="eastAsia" w:ascii="Times New Roman" w:hAnsi="Times New Roman" w:cs="Times New Roman" w:eastAsiaTheme="minorEastAsia"/>
                      <w:bCs/>
                      <w:color w:val="auto"/>
                      <w:sz w:val="21"/>
                      <w:szCs w:val="21"/>
                      <w:highlight w:val="none"/>
                      <w:lang w:val="en-US" w:eastAsia="zh-CN" w:bidi="ar-SA"/>
                    </w:rPr>
                    <w:t>和</w:t>
                  </w:r>
                  <w:r>
                    <w:rPr>
                      <w:rFonts w:hint="default" w:ascii="Times New Roman" w:hAnsi="Times New Roman" w:cs="Times New Roman" w:eastAsiaTheme="minorEastAsia"/>
                      <w:bCs/>
                      <w:color w:val="auto"/>
                      <w:sz w:val="21"/>
                      <w:szCs w:val="21"/>
                      <w:highlight w:val="none"/>
                      <w:lang w:val="en-US" w:eastAsia="zh-CN" w:bidi="ar-SA"/>
                    </w:rPr>
                    <w:t>环氧云母氧化铁漆</w:t>
                  </w:r>
                  <w:r>
                    <w:rPr>
                      <w:rFonts w:hint="eastAsia" w:ascii="Times New Roman" w:hAnsi="Times New Roman" w:cs="Times New Roman" w:eastAsiaTheme="minorEastAsia"/>
                      <w:bCs/>
                      <w:color w:val="auto"/>
                      <w:sz w:val="21"/>
                      <w:szCs w:val="21"/>
                      <w:highlight w:val="none"/>
                      <w:lang w:val="en-US" w:eastAsia="zh-CN" w:bidi="ar-SA"/>
                    </w:rPr>
                    <w:t>B组分</w:t>
                  </w:r>
                </w:p>
              </w:tc>
              <w:tc>
                <w:tcPr>
                  <w:tcW w:w="964" w:type="pc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0.5</w:t>
                  </w:r>
                </w:p>
              </w:tc>
              <w:tc>
                <w:tcPr>
                  <w:tcW w:w="786" w:type="pct"/>
                  <w:vMerge w:val="continue"/>
                  <w:vAlign w:val="center"/>
                </w:tcPr>
                <w:p>
                  <w:pPr>
                    <w:pStyle w:val="82"/>
                    <w:spacing w:before="0"/>
                    <w:rPr>
                      <w:rFonts w:hint="default" w:ascii="Times New Roman" w:hAnsi="Times New Roman" w:cs="Times New Roman" w:eastAsiaTheme="minorEastAsia"/>
                      <w:bCs/>
                      <w:color w:val="auto"/>
                      <w:sz w:val="21"/>
                      <w:szCs w:val="21"/>
                      <w:highlight w:val="none"/>
                      <w:lang w:eastAsia="zh-CN"/>
                    </w:rPr>
                  </w:pPr>
                </w:p>
              </w:tc>
              <w:tc>
                <w:tcPr>
                  <w:tcW w:w="787" w:type="pct"/>
                  <w:vMerge w:val="continue"/>
                  <w:vAlign w:val="center"/>
                </w:tcPr>
                <w:p>
                  <w:pPr>
                    <w:pStyle w:val="82"/>
                    <w:spacing w:before="0"/>
                    <w:rPr>
                      <w:rFonts w:hint="default" w:ascii="Times New Roman" w:hAnsi="Times New Roman" w:cs="Times New Roman" w:eastAsiaTheme="minorEastAsia"/>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Merge w:val="continue"/>
                  <w:vAlign w:val="center"/>
                </w:tcPr>
                <w:p>
                  <w:pPr>
                    <w:pStyle w:val="82"/>
                    <w:spacing w:before="0"/>
                    <w:rPr>
                      <w:rFonts w:hint="default" w:ascii="Times New Roman" w:hAnsi="Times New Roman" w:cs="Times New Roman" w:eastAsiaTheme="minorEastAsia"/>
                      <w:bCs/>
                      <w:color w:val="auto"/>
                      <w:sz w:val="21"/>
                      <w:szCs w:val="21"/>
                      <w:highlight w:val="none"/>
                      <w:lang w:val="en-US" w:eastAsia="zh-CN" w:bidi="ar-SA"/>
                    </w:rPr>
                  </w:pPr>
                </w:p>
              </w:tc>
              <w:tc>
                <w:tcPr>
                  <w:tcW w:w="1733" w:type="pc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bidi="ar-SA"/>
                    </w:rPr>
                    <w:t>稀释剂</w:t>
                  </w:r>
                </w:p>
              </w:tc>
              <w:tc>
                <w:tcPr>
                  <w:tcW w:w="964" w:type="pc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0.4</w:t>
                  </w:r>
                </w:p>
              </w:tc>
              <w:tc>
                <w:tcPr>
                  <w:tcW w:w="786" w:type="pct"/>
                  <w:vMerge w:val="continue"/>
                  <w:vAlign w:val="center"/>
                </w:tcPr>
                <w:p>
                  <w:pPr>
                    <w:pStyle w:val="82"/>
                    <w:spacing w:before="0"/>
                    <w:rPr>
                      <w:rFonts w:hint="default" w:ascii="Times New Roman" w:hAnsi="Times New Roman" w:cs="Times New Roman" w:eastAsiaTheme="minorEastAsia"/>
                      <w:bCs/>
                      <w:color w:val="auto"/>
                      <w:sz w:val="21"/>
                      <w:szCs w:val="21"/>
                      <w:highlight w:val="none"/>
                      <w:lang w:eastAsia="zh-CN"/>
                    </w:rPr>
                  </w:pPr>
                </w:p>
              </w:tc>
              <w:tc>
                <w:tcPr>
                  <w:tcW w:w="787" w:type="pct"/>
                  <w:vMerge w:val="continue"/>
                  <w:vAlign w:val="center"/>
                </w:tcPr>
                <w:p>
                  <w:pPr>
                    <w:pStyle w:val="82"/>
                    <w:spacing w:before="0"/>
                    <w:rPr>
                      <w:rFonts w:hint="default" w:ascii="Times New Roman" w:hAnsi="Times New Roman" w:cs="Times New Roman" w:eastAsiaTheme="minorEastAsia"/>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8" w:type="pct"/>
                  <w:vMerge w:val="continue"/>
                  <w:vAlign w:val="center"/>
                </w:tcPr>
                <w:p>
                  <w:pPr>
                    <w:pStyle w:val="82"/>
                    <w:spacing w:before="0"/>
                    <w:rPr>
                      <w:rFonts w:hint="default" w:ascii="Times New Roman" w:hAnsi="Times New Roman" w:cs="Times New Roman" w:eastAsiaTheme="minorEastAsia"/>
                      <w:bCs/>
                      <w:color w:val="auto"/>
                      <w:sz w:val="21"/>
                      <w:szCs w:val="21"/>
                      <w:highlight w:val="none"/>
                      <w:lang w:val="en-US" w:eastAsia="zh-CN" w:bidi="ar-SA"/>
                    </w:rPr>
                  </w:pPr>
                </w:p>
              </w:tc>
              <w:tc>
                <w:tcPr>
                  <w:tcW w:w="1733" w:type="pc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bidi="ar-SA"/>
                    </w:rPr>
                  </w:pPr>
                  <w:r>
                    <w:rPr>
                      <w:rFonts w:hint="eastAsia" w:ascii="Times New Roman" w:hAnsi="Times New Roman" w:cs="Times New Roman" w:eastAsiaTheme="minorEastAsia"/>
                      <w:bCs/>
                      <w:color w:val="auto"/>
                      <w:sz w:val="21"/>
                      <w:szCs w:val="21"/>
                      <w:highlight w:val="none"/>
                      <w:lang w:val="en-US" w:eastAsia="zh-CN" w:bidi="ar-SA"/>
                    </w:rPr>
                    <w:t>水性</w:t>
                  </w:r>
                  <w:r>
                    <w:rPr>
                      <w:rFonts w:hint="default" w:ascii="Times New Roman" w:hAnsi="Times New Roman" w:cs="Times New Roman" w:eastAsiaTheme="minorEastAsia"/>
                      <w:bCs/>
                      <w:color w:val="auto"/>
                      <w:sz w:val="21"/>
                      <w:szCs w:val="21"/>
                      <w:highlight w:val="none"/>
                      <w:lang w:val="en-US" w:eastAsia="zh-CN" w:bidi="ar-SA"/>
                    </w:rPr>
                    <w:t>环氧富锌漆工作漆</w:t>
                  </w:r>
                </w:p>
              </w:tc>
              <w:tc>
                <w:tcPr>
                  <w:tcW w:w="964" w:type="pct"/>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30</w:t>
                  </w:r>
                </w:p>
              </w:tc>
              <w:tc>
                <w:tcPr>
                  <w:tcW w:w="1573" w:type="pct"/>
                  <w:gridSpan w:val="2"/>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30</w:t>
                  </w:r>
                </w:p>
              </w:tc>
            </w:tr>
          </w:tbl>
          <w:p>
            <w:pPr>
              <w:keepNext w:val="0"/>
              <w:keepLines w:val="0"/>
              <w:suppressLineNumbers w:val="0"/>
              <w:spacing w:before="0" w:beforeAutospacing="0" w:after="0" w:afterAutospacing="0" w:line="360" w:lineRule="auto"/>
              <w:ind w:left="0" w:right="0"/>
              <w:rPr>
                <w:rFonts w:hint="eastAsia" w:ascii="Times New Roman" w:hAnsi="Times New Roman" w:cs="Times New Roman" w:eastAsiaTheme="minorEastAsia"/>
                <w:b/>
                <w:color w:val="auto"/>
                <w:sz w:val="21"/>
                <w:szCs w:val="21"/>
                <w:highlight w:val="none"/>
                <w:lang w:val="en-US" w:eastAsia="zh-CN" w:bidi="ar-SA"/>
              </w:rPr>
            </w:pPr>
            <w:r>
              <w:rPr>
                <w:rFonts w:hint="default" w:ascii="Times New Roman" w:hAnsi="Times New Roman" w:cs="Times New Roman"/>
                <w:b/>
                <w:bCs w:val="0"/>
                <w:color w:val="auto"/>
                <w:sz w:val="21"/>
                <w:szCs w:val="21"/>
                <w:highlight w:val="none"/>
                <w:lang w:bidi="ar"/>
              </w:rPr>
              <w:t>注：根据建设单位提供资料，工作漆中各组分比例为：水性环氧富锌漆与水配比：10:1</w:t>
            </w:r>
            <w:r>
              <w:rPr>
                <w:rFonts w:hint="eastAsia" w:ascii="Times New Roman" w:hAnsi="Times New Roman" w:cs="Times New Roman"/>
                <w:b/>
                <w:bCs w:val="0"/>
                <w:color w:val="auto"/>
                <w:sz w:val="21"/>
                <w:szCs w:val="21"/>
                <w:highlight w:val="none"/>
                <w:lang w:eastAsia="zh-CN" w:bidi="ar"/>
              </w:rPr>
              <w:t>，</w:t>
            </w:r>
            <w:r>
              <w:rPr>
                <w:rFonts w:hint="default" w:ascii="Times New Roman" w:hAnsi="Times New Roman" w:cs="Times New Roman"/>
                <w:b/>
                <w:bCs w:val="0"/>
                <w:color w:val="auto"/>
                <w:sz w:val="21"/>
                <w:szCs w:val="21"/>
                <w:highlight w:val="none"/>
                <w:lang w:bidi="ar"/>
              </w:rPr>
              <w:t>则水性漆使用量约为</w:t>
            </w:r>
            <w:r>
              <w:rPr>
                <w:rFonts w:hint="eastAsia" w:ascii="Times New Roman" w:hAnsi="Times New Roman" w:cs="Times New Roman"/>
                <w:b/>
                <w:bCs w:val="0"/>
                <w:color w:val="auto"/>
                <w:sz w:val="21"/>
                <w:szCs w:val="21"/>
                <w:highlight w:val="none"/>
                <w:lang w:val="en-US" w:eastAsia="zh-CN" w:bidi="ar"/>
              </w:rPr>
              <w:t>27.3</w:t>
            </w:r>
            <w:r>
              <w:rPr>
                <w:rFonts w:hint="default" w:ascii="Times New Roman" w:hAnsi="Times New Roman" w:cs="Times New Roman"/>
                <w:b/>
                <w:bCs w:val="0"/>
                <w:color w:val="auto"/>
                <w:sz w:val="21"/>
                <w:szCs w:val="21"/>
                <w:highlight w:val="none"/>
                <w:lang w:bidi="ar"/>
              </w:rPr>
              <w:t>吨，水使用量约为</w:t>
            </w:r>
            <w:r>
              <w:rPr>
                <w:rFonts w:hint="eastAsia" w:ascii="Times New Roman" w:hAnsi="Times New Roman" w:cs="Times New Roman"/>
                <w:b/>
                <w:bCs w:val="0"/>
                <w:color w:val="auto"/>
                <w:sz w:val="21"/>
                <w:szCs w:val="21"/>
                <w:highlight w:val="none"/>
                <w:lang w:val="en-US" w:eastAsia="zh-CN" w:bidi="ar"/>
              </w:rPr>
              <w:t>2.7</w:t>
            </w:r>
            <w:r>
              <w:rPr>
                <w:rFonts w:hint="default" w:ascii="Times New Roman" w:hAnsi="Times New Roman" w:cs="Times New Roman"/>
                <w:b/>
                <w:bCs w:val="0"/>
                <w:color w:val="auto"/>
                <w:sz w:val="21"/>
                <w:szCs w:val="21"/>
                <w:highlight w:val="none"/>
                <w:lang w:bidi="ar"/>
              </w:rPr>
              <w:t>吨</w:t>
            </w:r>
            <w:r>
              <w:rPr>
                <w:rFonts w:hint="eastAsia" w:cs="Times New Roman"/>
                <w:b/>
                <w:bCs w:val="0"/>
                <w:color w:val="auto"/>
                <w:sz w:val="21"/>
                <w:szCs w:val="21"/>
                <w:highlight w:val="none"/>
                <w:lang w:eastAsia="zh-CN" w:bidi="ar"/>
              </w:rPr>
              <w:t>。</w:t>
            </w:r>
          </w:p>
          <w:p>
            <w:pPr>
              <w:spacing w:line="360" w:lineRule="auto"/>
              <w:jc w:val="center"/>
              <w:rPr>
                <w:rFonts w:hint="eastAsia" w:ascii="Times New Roman" w:hAnsi="Times New Roman" w:cs="Times New Roman" w:eastAsiaTheme="minorEastAsia"/>
                <w:b/>
                <w:color w:val="auto"/>
                <w:sz w:val="21"/>
                <w:szCs w:val="21"/>
                <w:highlight w:val="none"/>
                <w:lang w:val="en-US" w:eastAsia="zh-CN" w:bidi="ar-SA"/>
              </w:rPr>
            </w:pPr>
            <w:r>
              <w:rPr>
                <w:rFonts w:hint="eastAsia" w:ascii="Times New Roman" w:hAnsi="Times New Roman" w:cs="Times New Roman" w:eastAsiaTheme="minorEastAsia"/>
                <w:b/>
                <w:color w:val="auto"/>
                <w:sz w:val="21"/>
                <w:szCs w:val="21"/>
                <w:highlight w:val="none"/>
                <w:lang w:val="en-US" w:eastAsia="zh-CN" w:bidi="ar-SA"/>
              </w:rPr>
              <w:t>表4-5项目漆料中有机组分产生情况</w:t>
            </w:r>
          </w:p>
          <w:tbl>
            <w:tblPr>
              <w:tblStyle w:val="29"/>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075"/>
              <w:gridCol w:w="1046"/>
              <w:gridCol w:w="1568"/>
              <w:gridCol w:w="874"/>
              <w:gridCol w:w="680"/>
              <w:gridCol w:w="522"/>
              <w:gridCol w:w="1005"/>
              <w:gridCol w:w="564"/>
              <w:gridCol w:w="722"/>
              <w:gridCol w:w="100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6" w:hRule="atLeast"/>
              </w:trPr>
              <w:tc>
                <w:tcPr>
                  <w:tcW w:w="593" w:type="pct"/>
                  <w:vMerge w:val="restar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产品种类</w:t>
                  </w:r>
                </w:p>
              </w:tc>
              <w:tc>
                <w:tcPr>
                  <w:tcW w:w="577" w:type="pct"/>
                  <w:vMerge w:val="restart"/>
                  <w:tcBorders>
                    <w:top w:val="single" w:color="000000" w:sz="8" w:space="0"/>
                    <w:left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涂层</w:t>
                  </w:r>
                </w:p>
              </w:tc>
              <w:tc>
                <w:tcPr>
                  <w:tcW w:w="863" w:type="pct"/>
                  <w:vMerge w:val="restar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种类</w:t>
                  </w:r>
                </w:p>
              </w:tc>
              <w:tc>
                <w:tcPr>
                  <w:tcW w:w="482" w:type="pct"/>
                  <w:vMerge w:val="restar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用量</w:t>
                  </w:r>
                </w:p>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（t/a）</w:t>
                  </w:r>
                </w:p>
              </w:tc>
              <w:tc>
                <w:tcPr>
                  <w:tcW w:w="1217" w:type="pct"/>
                  <w:gridSpan w:val="3"/>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有机组分含量（%）</w:t>
                  </w:r>
                </w:p>
              </w:tc>
              <w:tc>
                <w:tcPr>
                  <w:tcW w:w="1265" w:type="pct"/>
                  <w:gridSpan w:val="3"/>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污染物产生量（t/a）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14" w:hRule="atLeast"/>
              </w:trPr>
              <w:tc>
                <w:tcPr>
                  <w:tcW w:w="593" w:type="pct"/>
                  <w:vMerge w:val="continue"/>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c>
                <w:tcPr>
                  <w:tcW w:w="577" w:type="pct"/>
                  <w:vMerge w:val="continue"/>
                  <w:tcBorders>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c>
                <w:tcPr>
                  <w:tcW w:w="863" w:type="pct"/>
                  <w:vMerge w:val="continue"/>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c>
                <w:tcPr>
                  <w:tcW w:w="482" w:type="pct"/>
                  <w:vMerge w:val="continue"/>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c>
                <w:tcPr>
                  <w:tcW w:w="375"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二甲苯</w:t>
                  </w:r>
                </w:p>
              </w:tc>
              <w:tc>
                <w:tcPr>
                  <w:tcW w:w="28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乙苯</w:t>
                  </w:r>
                </w:p>
              </w:tc>
              <w:tc>
                <w:tcPr>
                  <w:tcW w:w="55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TRVOC、非甲烷总烃</w:t>
                  </w:r>
                </w:p>
              </w:tc>
              <w:tc>
                <w:tcPr>
                  <w:tcW w:w="311"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二甲苯</w:t>
                  </w:r>
                </w:p>
              </w:tc>
              <w:tc>
                <w:tcPr>
                  <w:tcW w:w="39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乙苯</w:t>
                  </w:r>
                </w:p>
              </w:tc>
              <w:tc>
                <w:tcPr>
                  <w:tcW w:w="554"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TRVOC、非甲烷总烃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593" w:type="pct"/>
                  <w:vMerge w:val="restart"/>
                  <w:tcBorders>
                    <w:top w:val="single" w:color="000000" w:sz="8" w:space="0"/>
                    <w:left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喷涂底漆和面漆产品1000t/a</w:t>
                  </w:r>
                </w:p>
              </w:tc>
              <w:tc>
                <w:tcPr>
                  <w:tcW w:w="577" w:type="pct"/>
                  <w:vMerge w:val="restart"/>
                  <w:tcBorders>
                    <w:top w:val="single" w:color="000000" w:sz="8" w:space="0"/>
                    <w:left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环氧有机富锌底漆</w:t>
                  </w:r>
                </w:p>
              </w:tc>
              <w:tc>
                <w:tcPr>
                  <w:tcW w:w="86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环氧有机富锌底漆A组分</w:t>
                  </w:r>
                </w:p>
              </w:tc>
              <w:tc>
                <w:tcPr>
                  <w:tcW w:w="482"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3.2</w:t>
                  </w:r>
                </w:p>
              </w:tc>
              <w:tc>
                <w:tcPr>
                  <w:tcW w:w="375"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10</w:t>
                  </w:r>
                </w:p>
              </w:tc>
              <w:tc>
                <w:tcPr>
                  <w:tcW w:w="28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2.4</w:t>
                  </w:r>
                </w:p>
              </w:tc>
              <w:tc>
                <w:tcPr>
                  <w:tcW w:w="55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22</w:t>
                  </w:r>
                </w:p>
              </w:tc>
              <w:tc>
                <w:tcPr>
                  <w:tcW w:w="311"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0.32</w:t>
                  </w:r>
                </w:p>
              </w:tc>
              <w:tc>
                <w:tcPr>
                  <w:tcW w:w="39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0.0768</w:t>
                  </w:r>
                </w:p>
              </w:tc>
              <w:tc>
                <w:tcPr>
                  <w:tcW w:w="554"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0.704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8" w:hRule="atLeast"/>
              </w:trPr>
              <w:tc>
                <w:tcPr>
                  <w:tcW w:w="593" w:type="pct"/>
                  <w:vMerge w:val="continue"/>
                  <w:tcBorders>
                    <w:left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c>
                <w:tcPr>
                  <w:tcW w:w="577" w:type="pct"/>
                  <w:vMerge w:val="continue"/>
                  <w:tcBorders>
                    <w:left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c>
                <w:tcPr>
                  <w:tcW w:w="86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环氧有机富锌底漆B组分</w:t>
                  </w:r>
                </w:p>
              </w:tc>
              <w:tc>
                <w:tcPr>
                  <w:tcW w:w="482"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0.5</w:t>
                  </w:r>
                </w:p>
              </w:tc>
              <w:tc>
                <w:tcPr>
                  <w:tcW w:w="375"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50</w:t>
                  </w:r>
                </w:p>
              </w:tc>
              <w:tc>
                <w:tcPr>
                  <w:tcW w:w="28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10</w:t>
                  </w:r>
                </w:p>
              </w:tc>
              <w:tc>
                <w:tcPr>
                  <w:tcW w:w="55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73</w:t>
                  </w:r>
                </w:p>
              </w:tc>
              <w:tc>
                <w:tcPr>
                  <w:tcW w:w="311"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0.25</w:t>
                  </w:r>
                </w:p>
              </w:tc>
              <w:tc>
                <w:tcPr>
                  <w:tcW w:w="39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0.05</w:t>
                  </w:r>
                </w:p>
              </w:tc>
              <w:tc>
                <w:tcPr>
                  <w:tcW w:w="554"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0.365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8" w:hRule="atLeast"/>
              </w:trPr>
              <w:tc>
                <w:tcPr>
                  <w:tcW w:w="593" w:type="pct"/>
                  <w:vMerge w:val="continue"/>
                  <w:tcBorders>
                    <w:left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c>
                <w:tcPr>
                  <w:tcW w:w="577" w:type="pct"/>
                  <w:vMerge w:val="continue"/>
                  <w:tcBorders>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c>
                <w:tcPr>
                  <w:tcW w:w="86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稀释剂</w:t>
                  </w:r>
                </w:p>
              </w:tc>
              <w:tc>
                <w:tcPr>
                  <w:tcW w:w="482"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0.5</w:t>
                  </w:r>
                </w:p>
              </w:tc>
              <w:tc>
                <w:tcPr>
                  <w:tcW w:w="375"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50</w:t>
                  </w:r>
                </w:p>
              </w:tc>
              <w:tc>
                <w:tcPr>
                  <w:tcW w:w="28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10</w:t>
                  </w:r>
                </w:p>
              </w:tc>
              <w:tc>
                <w:tcPr>
                  <w:tcW w:w="55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100</w:t>
                  </w:r>
                </w:p>
              </w:tc>
              <w:tc>
                <w:tcPr>
                  <w:tcW w:w="311"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0.25</w:t>
                  </w:r>
                </w:p>
              </w:tc>
              <w:tc>
                <w:tcPr>
                  <w:tcW w:w="39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0.05</w:t>
                  </w:r>
                </w:p>
              </w:tc>
              <w:tc>
                <w:tcPr>
                  <w:tcW w:w="554"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8" w:hRule="atLeast"/>
              </w:trPr>
              <w:tc>
                <w:tcPr>
                  <w:tcW w:w="593" w:type="pct"/>
                  <w:vMerge w:val="continue"/>
                  <w:tcBorders>
                    <w:left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c>
                <w:tcPr>
                  <w:tcW w:w="3141" w:type="pct"/>
                  <w:gridSpan w:val="6"/>
                  <w:tcBorders>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底漆合计</w:t>
                  </w:r>
                </w:p>
              </w:tc>
              <w:tc>
                <w:tcPr>
                  <w:tcW w:w="311"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0.82</w:t>
                  </w:r>
                </w:p>
              </w:tc>
              <w:tc>
                <w:tcPr>
                  <w:tcW w:w="39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0.1768</w:t>
                  </w:r>
                </w:p>
              </w:tc>
              <w:tc>
                <w:tcPr>
                  <w:tcW w:w="554"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1.569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4" w:hRule="atLeast"/>
              </w:trPr>
              <w:tc>
                <w:tcPr>
                  <w:tcW w:w="593" w:type="pct"/>
                  <w:vMerge w:val="continue"/>
                  <w:tcBorders>
                    <w:left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c>
                <w:tcPr>
                  <w:tcW w:w="577" w:type="pct"/>
                  <w:vMerge w:val="restart"/>
                  <w:tcBorders>
                    <w:top w:val="single" w:color="000000" w:sz="8" w:space="0"/>
                    <w:left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环氧云母氧化铁漆（面漆）</w:t>
                  </w:r>
                </w:p>
              </w:tc>
              <w:tc>
                <w:tcPr>
                  <w:tcW w:w="86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环氧云母氧化铁漆A组分</w:t>
                  </w:r>
                </w:p>
              </w:tc>
              <w:tc>
                <w:tcPr>
                  <w:tcW w:w="482"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3.4</w:t>
                  </w:r>
                </w:p>
              </w:tc>
              <w:tc>
                <w:tcPr>
                  <w:tcW w:w="375"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10</w:t>
                  </w:r>
                </w:p>
              </w:tc>
              <w:tc>
                <w:tcPr>
                  <w:tcW w:w="28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1.9</w:t>
                  </w:r>
                </w:p>
              </w:tc>
              <w:tc>
                <w:tcPr>
                  <w:tcW w:w="55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21</w:t>
                  </w:r>
                </w:p>
              </w:tc>
              <w:tc>
                <w:tcPr>
                  <w:tcW w:w="311"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0.34</w:t>
                  </w:r>
                </w:p>
              </w:tc>
              <w:tc>
                <w:tcPr>
                  <w:tcW w:w="39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0.0646</w:t>
                  </w:r>
                </w:p>
              </w:tc>
              <w:tc>
                <w:tcPr>
                  <w:tcW w:w="554"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0.714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4" w:hRule="atLeast"/>
              </w:trPr>
              <w:tc>
                <w:tcPr>
                  <w:tcW w:w="593" w:type="pct"/>
                  <w:vMerge w:val="continue"/>
                  <w:tcBorders>
                    <w:left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c>
                <w:tcPr>
                  <w:tcW w:w="577" w:type="pct"/>
                  <w:vMerge w:val="continue"/>
                  <w:tcBorders>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c>
                <w:tcPr>
                  <w:tcW w:w="86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环氧云母氧化铁漆B组分</w:t>
                  </w:r>
                </w:p>
              </w:tc>
              <w:tc>
                <w:tcPr>
                  <w:tcW w:w="482"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0.5</w:t>
                  </w:r>
                </w:p>
              </w:tc>
              <w:tc>
                <w:tcPr>
                  <w:tcW w:w="375"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15</w:t>
                  </w:r>
                </w:p>
              </w:tc>
              <w:tc>
                <w:tcPr>
                  <w:tcW w:w="28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2.7</w:t>
                  </w:r>
                </w:p>
              </w:tc>
              <w:tc>
                <w:tcPr>
                  <w:tcW w:w="55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37.2</w:t>
                  </w:r>
                </w:p>
              </w:tc>
              <w:tc>
                <w:tcPr>
                  <w:tcW w:w="311"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0.075</w:t>
                  </w:r>
                </w:p>
              </w:tc>
              <w:tc>
                <w:tcPr>
                  <w:tcW w:w="39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0.0135</w:t>
                  </w:r>
                </w:p>
              </w:tc>
              <w:tc>
                <w:tcPr>
                  <w:tcW w:w="554"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0.186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trPr>
              <w:tc>
                <w:tcPr>
                  <w:tcW w:w="593" w:type="pct"/>
                  <w:vMerge w:val="continue"/>
                  <w:tcBorders>
                    <w:left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c>
                <w:tcPr>
                  <w:tcW w:w="577" w:type="pct"/>
                  <w:vMerge w:val="continue"/>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c>
                <w:tcPr>
                  <w:tcW w:w="86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稀释剂</w:t>
                  </w:r>
                </w:p>
              </w:tc>
              <w:tc>
                <w:tcPr>
                  <w:tcW w:w="482"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0.4</w:t>
                  </w:r>
                </w:p>
              </w:tc>
              <w:tc>
                <w:tcPr>
                  <w:tcW w:w="375"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50</w:t>
                  </w:r>
                </w:p>
              </w:tc>
              <w:tc>
                <w:tcPr>
                  <w:tcW w:w="28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10</w:t>
                  </w:r>
                </w:p>
              </w:tc>
              <w:tc>
                <w:tcPr>
                  <w:tcW w:w="55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100</w:t>
                  </w:r>
                </w:p>
              </w:tc>
              <w:tc>
                <w:tcPr>
                  <w:tcW w:w="311"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0.2</w:t>
                  </w:r>
                </w:p>
              </w:tc>
              <w:tc>
                <w:tcPr>
                  <w:tcW w:w="39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0.04</w:t>
                  </w:r>
                </w:p>
              </w:tc>
              <w:tc>
                <w:tcPr>
                  <w:tcW w:w="554"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0.4</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trPr>
              <w:tc>
                <w:tcPr>
                  <w:tcW w:w="593" w:type="pct"/>
                  <w:vMerge w:val="continue"/>
                  <w:tcBorders>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p>
              </w:tc>
              <w:tc>
                <w:tcPr>
                  <w:tcW w:w="3141" w:type="pct"/>
                  <w:gridSpan w:val="6"/>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面漆合计</w:t>
                  </w:r>
                </w:p>
              </w:tc>
              <w:tc>
                <w:tcPr>
                  <w:tcW w:w="311"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0.615</w:t>
                  </w:r>
                </w:p>
              </w:tc>
              <w:tc>
                <w:tcPr>
                  <w:tcW w:w="39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0.1181</w:t>
                  </w:r>
                </w:p>
              </w:tc>
              <w:tc>
                <w:tcPr>
                  <w:tcW w:w="554"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1.3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2035" w:type="pct"/>
                  <w:gridSpan w:val="3"/>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合计</w:t>
                  </w:r>
                </w:p>
              </w:tc>
              <w:tc>
                <w:tcPr>
                  <w:tcW w:w="482"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8.5</w:t>
                  </w:r>
                </w:p>
              </w:tc>
              <w:tc>
                <w:tcPr>
                  <w:tcW w:w="375"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w:t>
                  </w:r>
                </w:p>
              </w:tc>
              <w:tc>
                <w:tcPr>
                  <w:tcW w:w="28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w:t>
                  </w:r>
                </w:p>
              </w:tc>
              <w:tc>
                <w:tcPr>
                  <w:tcW w:w="55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w:t>
                  </w:r>
                </w:p>
              </w:tc>
              <w:tc>
                <w:tcPr>
                  <w:tcW w:w="311" w:type="pct"/>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Times New Roman" w:hAnsi="Times New Roman" w:cs="Times New Roman" w:eastAsiaTheme="minorEastAsia"/>
                      <w:bCs/>
                      <w:color w:val="auto"/>
                      <w:sz w:val="21"/>
                      <w:szCs w:val="21"/>
                      <w:highlight w:val="none"/>
                      <w:lang w:val="en-US" w:eastAsia="zh-CN" w:bidi="ar-SA"/>
                    </w:rPr>
                  </w:pPr>
                  <w:r>
                    <w:rPr>
                      <w:rFonts w:hint="eastAsia" w:ascii="Times New Roman" w:hAnsi="Times New Roman" w:cs="Times New Roman" w:eastAsiaTheme="minorEastAsia"/>
                      <w:bCs/>
                      <w:color w:val="auto"/>
                      <w:sz w:val="21"/>
                      <w:szCs w:val="21"/>
                      <w:highlight w:val="none"/>
                      <w:lang w:val="en-US" w:eastAsia="zh-CN" w:bidi="ar-SA"/>
                    </w:rPr>
                    <w:t>1.435</w:t>
                  </w:r>
                </w:p>
              </w:tc>
              <w:tc>
                <w:tcPr>
                  <w:tcW w:w="398" w:type="pct"/>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Times New Roman" w:hAnsi="Times New Roman" w:cs="Times New Roman" w:eastAsiaTheme="minorEastAsia"/>
                      <w:bCs/>
                      <w:color w:val="auto"/>
                      <w:sz w:val="21"/>
                      <w:szCs w:val="21"/>
                      <w:highlight w:val="none"/>
                      <w:lang w:val="en-US" w:eastAsia="zh-CN" w:bidi="ar-SA"/>
                    </w:rPr>
                  </w:pPr>
                  <w:r>
                    <w:rPr>
                      <w:rFonts w:hint="eastAsia" w:ascii="Times New Roman" w:hAnsi="Times New Roman" w:cs="Times New Roman" w:eastAsiaTheme="minorEastAsia"/>
                      <w:bCs/>
                      <w:color w:val="auto"/>
                      <w:sz w:val="21"/>
                      <w:szCs w:val="21"/>
                      <w:highlight w:val="none"/>
                      <w:lang w:val="en-US" w:eastAsia="zh-CN" w:bidi="ar-SA"/>
                    </w:rPr>
                    <w:t>0.2949</w:t>
                  </w:r>
                </w:p>
              </w:tc>
              <w:tc>
                <w:tcPr>
                  <w:tcW w:w="554" w:type="pct"/>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eastAsia" w:ascii="Times New Roman" w:hAnsi="Times New Roman" w:cs="Times New Roman" w:eastAsiaTheme="minorEastAsia"/>
                      <w:bCs/>
                      <w:color w:val="auto"/>
                      <w:sz w:val="21"/>
                      <w:szCs w:val="21"/>
                      <w:highlight w:val="none"/>
                      <w:lang w:val="en-US" w:eastAsia="zh-CN" w:bidi="ar-SA"/>
                    </w:rPr>
                  </w:pPr>
                  <w:r>
                    <w:rPr>
                      <w:rFonts w:hint="eastAsia" w:ascii="Times New Roman" w:hAnsi="Times New Roman" w:cs="Times New Roman" w:eastAsiaTheme="minorEastAsia"/>
                      <w:bCs/>
                      <w:color w:val="auto"/>
                      <w:sz w:val="21"/>
                      <w:szCs w:val="21"/>
                      <w:highlight w:val="none"/>
                      <w:lang w:val="en-US" w:eastAsia="zh-CN" w:bidi="ar-SA"/>
                    </w:rPr>
                    <w:t>2.869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trPr>
              <w:tc>
                <w:tcPr>
                  <w:tcW w:w="59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喷涂水性底漆和面漆产品4000t/a</w:t>
                  </w:r>
                </w:p>
              </w:tc>
              <w:tc>
                <w:tcPr>
                  <w:tcW w:w="577"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水性环氧富锌漆工作漆</w:t>
                  </w:r>
                </w:p>
              </w:tc>
              <w:tc>
                <w:tcPr>
                  <w:tcW w:w="86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eastAsia"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水性环氧富锌漆工作漆</w:t>
                  </w:r>
                </w:p>
              </w:tc>
              <w:tc>
                <w:tcPr>
                  <w:tcW w:w="482"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27.3</w:t>
                  </w:r>
                </w:p>
              </w:tc>
              <w:tc>
                <w:tcPr>
                  <w:tcW w:w="375"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w:t>
                  </w:r>
                </w:p>
              </w:tc>
              <w:tc>
                <w:tcPr>
                  <w:tcW w:w="288"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w:t>
                  </w:r>
                </w:p>
              </w:tc>
              <w:tc>
                <w:tcPr>
                  <w:tcW w:w="553" w:type="pct"/>
                  <w:tcBorders>
                    <w:top w:val="single" w:color="000000" w:sz="8" w:space="0"/>
                    <w:left w:val="single" w:color="000000" w:sz="8" w:space="0"/>
                    <w:bottom w:val="single" w:color="000000" w:sz="8" w:space="0"/>
                    <w:right w:val="single" w:color="000000" w:sz="8" w:space="0"/>
                  </w:tcBorders>
                  <w:vAlign w:val="center"/>
                </w:tcPr>
                <w:p>
                  <w:pPr>
                    <w:pStyle w:val="82"/>
                    <w:spacing w:before="0"/>
                    <w:rPr>
                      <w:rFonts w:hint="default" w:ascii="Times New Roman" w:hAnsi="Times New Roman" w:cs="Times New Roman" w:eastAsiaTheme="minorEastAsia"/>
                      <w:bCs/>
                      <w:color w:val="auto"/>
                      <w:sz w:val="21"/>
                      <w:szCs w:val="21"/>
                      <w:highlight w:val="none"/>
                      <w:lang w:val="en-US" w:eastAsia="zh-CN"/>
                    </w:rPr>
                  </w:pPr>
                  <w:r>
                    <w:rPr>
                      <w:rFonts w:hint="eastAsia" w:ascii="Times New Roman" w:hAnsi="Times New Roman" w:cs="Times New Roman" w:eastAsiaTheme="minorEastAsia"/>
                      <w:bCs/>
                      <w:color w:val="auto"/>
                      <w:sz w:val="21"/>
                      <w:szCs w:val="21"/>
                      <w:highlight w:val="none"/>
                      <w:lang w:val="en-US" w:eastAsia="zh-CN"/>
                    </w:rPr>
                    <w:t>/</w:t>
                  </w:r>
                </w:p>
              </w:tc>
              <w:tc>
                <w:tcPr>
                  <w:tcW w:w="311" w:type="pct"/>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bidi="ar-SA"/>
                    </w:rPr>
                  </w:pPr>
                  <w:r>
                    <w:rPr>
                      <w:rFonts w:hint="eastAsia" w:ascii="Times New Roman" w:hAnsi="Times New Roman" w:cs="Times New Roman" w:eastAsiaTheme="minorEastAsia"/>
                      <w:bCs/>
                      <w:color w:val="auto"/>
                      <w:sz w:val="21"/>
                      <w:szCs w:val="21"/>
                      <w:highlight w:val="none"/>
                      <w:lang w:val="en-US" w:eastAsia="zh-CN" w:bidi="ar-SA"/>
                    </w:rPr>
                    <w:t>/</w:t>
                  </w:r>
                </w:p>
              </w:tc>
              <w:tc>
                <w:tcPr>
                  <w:tcW w:w="398" w:type="pct"/>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bidi="ar-SA"/>
                    </w:rPr>
                  </w:pPr>
                  <w:r>
                    <w:rPr>
                      <w:rFonts w:hint="eastAsia" w:ascii="Times New Roman" w:hAnsi="Times New Roman" w:cs="Times New Roman" w:eastAsiaTheme="minorEastAsia"/>
                      <w:bCs/>
                      <w:color w:val="auto"/>
                      <w:sz w:val="21"/>
                      <w:szCs w:val="21"/>
                      <w:highlight w:val="none"/>
                      <w:lang w:val="en-US" w:eastAsia="zh-CN" w:bidi="ar-SA"/>
                    </w:rPr>
                    <w:t>/</w:t>
                  </w:r>
                </w:p>
              </w:tc>
              <w:tc>
                <w:tcPr>
                  <w:tcW w:w="554" w:type="pct"/>
                  <w:tcBorders>
                    <w:top w:val="single" w:color="000000" w:sz="8" w:space="0"/>
                    <w:left w:val="single" w:color="000000" w:sz="8" w:space="0"/>
                    <w:bottom w:val="single" w:color="000000" w:sz="8" w:space="0"/>
                    <w:right w:val="single" w:color="000000" w:sz="8" w:space="0"/>
                  </w:tcBorders>
                  <w:vAlign w:val="center"/>
                </w:tcPr>
                <w:p>
                  <w:pPr>
                    <w:keepNext w:val="0"/>
                    <w:keepLines w:val="0"/>
                    <w:widowControl/>
                    <w:suppressLineNumbers w:val="0"/>
                    <w:jc w:val="center"/>
                    <w:textAlignment w:val="center"/>
                    <w:rPr>
                      <w:rFonts w:hint="default" w:ascii="Times New Roman" w:hAnsi="Times New Roman" w:cs="Times New Roman" w:eastAsiaTheme="minorEastAsia"/>
                      <w:bCs/>
                      <w:color w:val="auto"/>
                      <w:sz w:val="21"/>
                      <w:szCs w:val="21"/>
                      <w:highlight w:val="none"/>
                      <w:lang w:val="en-US" w:eastAsia="zh-CN" w:bidi="ar-SA"/>
                    </w:rPr>
                  </w:pPr>
                  <w:r>
                    <w:rPr>
                      <w:rFonts w:hint="eastAsia" w:ascii="Times New Roman" w:hAnsi="Times New Roman" w:cs="Times New Roman" w:eastAsiaTheme="minorEastAsia"/>
                      <w:bCs/>
                      <w:color w:val="auto"/>
                      <w:sz w:val="21"/>
                      <w:szCs w:val="21"/>
                      <w:highlight w:val="none"/>
                      <w:lang w:val="en-US" w:eastAsia="zh-CN" w:bidi="ar-SA"/>
                    </w:rPr>
                    <w:t>1.26</w:t>
                  </w:r>
                </w:p>
              </w:tc>
            </w:tr>
          </w:tbl>
          <w:p>
            <w:pPr>
              <w:spacing w:line="360" w:lineRule="auto"/>
              <w:ind w:firstLine="480" w:firstLineChars="200"/>
              <w:rPr>
                <w:rFonts w:hint="default" w:ascii="Times New Roman" w:hAnsi="Times New Roman" w:eastAsia="宋体" w:cs="Times New Roman"/>
                <w:color w:val="auto"/>
                <w:kern w:val="24"/>
                <w:highlight w:val="none"/>
                <w:lang w:val="en-US" w:eastAsia="zh-CN"/>
              </w:rPr>
            </w:pPr>
            <w:r>
              <w:rPr>
                <w:rFonts w:hint="default" w:ascii="Times New Roman" w:hAnsi="Times New Roman" w:eastAsia="宋体" w:cs="Times New Roman"/>
                <w:color w:val="auto"/>
                <w:kern w:val="24"/>
                <w:highlight w:val="none"/>
                <w:lang w:val="en-US" w:eastAsia="zh-CN"/>
              </w:rPr>
              <w:t>本项目水性环氧富锌漆年使用量为</w:t>
            </w:r>
            <w:r>
              <w:rPr>
                <w:rFonts w:hint="eastAsia" w:ascii="Times New Roman" w:hAnsi="Times New Roman" w:eastAsia="宋体" w:cs="Times New Roman"/>
                <w:color w:val="auto"/>
                <w:kern w:val="24"/>
                <w:highlight w:val="none"/>
                <w:lang w:val="en-US" w:eastAsia="zh-CN"/>
              </w:rPr>
              <w:t>27.3</w:t>
            </w:r>
            <w:r>
              <w:rPr>
                <w:rFonts w:hint="default" w:ascii="Times New Roman" w:hAnsi="Times New Roman" w:eastAsia="宋体" w:cs="Times New Roman"/>
                <w:color w:val="auto"/>
                <w:kern w:val="24"/>
                <w:highlight w:val="none"/>
                <w:lang w:val="en-US" w:eastAsia="zh-CN"/>
              </w:rPr>
              <w:t>t，密度为1.3g/cm</w:t>
            </w:r>
            <w:r>
              <w:rPr>
                <w:rFonts w:hint="default" w:ascii="Times New Roman" w:hAnsi="Times New Roman" w:eastAsia="宋体" w:cs="Times New Roman"/>
                <w:color w:val="auto"/>
                <w:kern w:val="24"/>
                <w:highlight w:val="none"/>
                <w:vertAlign w:val="superscript"/>
                <w:lang w:val="en-US" w:eastAsia="zh-CN"/>
              </w:rPr>
              <w:t>3</w:t>
            </w:r>
            <w:r>
              <w:rPr>
                <w:rFonts w:hint="default" w:ascii="Times New Roman" w:hAnsi="Times New Roman" w:eastAsia="宋体" w:cs="Times New Roman"/>
                <w:color w:val="auto"/>
                <w:kern w:val="24"/>
                <w:highlight w:val="none"/>
                <w:lang w:val="en-US" w:eastAsia="zh-CN"/>
              </w:rPr>
              <w:t>，挥发性有机物含量为60g/L，则挥发性有机物含量为</w:t>
            </w:r>
            <w:r>
              <w:rPr>
                <w:rFonts w:hint="eastAsia" w:ascii="Times New Roman" w:hAnsi="Times New Roman" w:eastAsia="宋体" w:cs="Times New Roman"/>
                <w:color w:val="auto"/>
                <w:kern w:val="24"/>
                <w:highlight w:val="none"/>
                <w:lang w:val="en-US" w:eastAsia="zh-CN"/>
              </w:rPr>
              <w:t>1.26</w:t>
            </w:r>
            <w:r>
              <w:rPr>
                <w:rFonts w:hint="default" w:ascii="Times New Roman" w:hAnsi="Times New Roman" w:eastAsia="宋体" w:cs="Times New Roman"/>
                <w:color w:val="auto"/>
                <w:kern w:val="24"/>
                <w:highlight w:val="none"/>
                <w:lang w:val="en-US" w:eastAsia="zh-CN"/>
              </w:rPr>
              <w:t>t。</w:t>
            </w:r>
          </w:p>
          <w:p>
            <w:pPr>
              <w:spacing w:line="360" w:lineRule="auto"/>
              <w:rPr>
                <w:rFonts w:hint="default" w:ascii="Times New Roman" w:hAnsi="Times New Roman" w:eastAsia="宋体" w:cs="Times New Roman"/>
                <w:color w:val="auto"/>
                <w:kern w:val="24"/>
                <w:highlight w:val="none"/>
                <w:lang w:val="en-US" w:eastAsia="zh-CN"/>
              </w:rPr>
            </w:pPr>
            <w:r>
              <w:rPr>
                <w:rFonts w:hint="default" w:ascii="Times New Roman" w:hAnsi="Times New Roman" w:eastAsia="宋体" w:cs="Times New Roman"/>
                <w:color w:val="auto"/>
                <w:kern w:val="24"/>
                <w:highlight w:val="none"/>
                <w:lang w:val="en-US" w:eastAsia="zh-CN"/>
              </w:rPr>
              <w:drawing>
                <wp:inline distT="0" distB="0" distL="114300" distR="114300">
                  <wp:extent cx="5437505" cy="2900680"/>
                  <wp:effectExtent l="0" t="0" r="10795" b="13970"/>
                  <wp:docPr id="11" name="图片 11" descr="170297201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02972017974"/>
                          <pic:cNvPicPr>
                            <a:picLocks noChangeAspect="1"/>
                          </pic:cNvPicPr>
                        </pic:nvPicPr>
                        <pic:blipFill>
                          <a:blip r:embed="rId18"/>
                          <a:stretch>
                            <a:fillRect/>
                          </a:stretch>
                        </pic:blipFill>
                        <pic:spPr>
                          <a:xfrm>
                            <a:off x="0" y="0"/>
                            <a:ext cx="5437505" cy="2900680"/>
                          </a:xfrm>
                          <a:prstGeom prst="rect">
                            <a:avLst/>
                          </a:prstGeom>
                        </pic:spPr>
                      </pic:pic>
                    </a:graphicData>
                  </a:graphic>
                </wp:inline>
              </w:drawing>
            </w:r>
          </w:p>
          <w:p>
            <w:pPr>
              <w:spacing w:line="360" w:lineRule="auto"/>
              <w:jc w:val="center"/>
              <w:rPr>
                <w:rFonts w:hint="eastAsia" w:cs="Times New Roman"/>
                <w:b/>
                <w:bCs/>
                <w:color w:val="auto"/>
                <w:kern w:val="24"/>
                <w:highlight w:val="none"/>
                <w:lang w:val="en-US" w:eastAsia="zh-CN"/>
              </w:rPr>
            </w:pPr>
            <w:r>
              <w:rPr>
                <w:rFonts w:hint="eastAsia" w:cs="Times New Roman"/>
                <w:b/>
                <w:bCs/>
                <w:color w:val="auto"/>
                <w:kern w:val="24"/>
                <w:highlight w:val="none"/>
                <w:lang w:val="en-US" w:eastAsia="zh-CN"/>
              </w:rPr>
              <w:t>图4-1油性漆物料平衡图</w:t>
            </w:r>
          </w:p>
          <w:p>
            <w:pPr>
              <w:spacing w:line="360" w:lineRule="auto"/>
              <w:jc w:val="center"/>
              <w:rPr>
                <w:rFonts w:hint="eastAsia" w:cs="Times New Roman"/>
                <w:b/>
                <w:bCs/>
                <w:color w:val="auto"/>
                <w:kern w:val="24"/>
                <w:highlight w:val="none"/>
                <w:lang w:val="en-US" w:eastAsia="zh-CN"/>
              </w:rPr>
            </w:pPr>
            <w:r>
              <w:rPr>
                <w:rFonts w:hint="eastAsia" w:cs="Times New Roman"/>
                <w:b/>
                <w:bCs/>
                <w:color w:val="auto"/>
                <w:kern w:val="24"/>
                <w:highlight w:val="none"/>
                <w:lang w:val="en-US" w:eastAsia="zh-CN"/>
              </w:rPr>
              <w:drawing>
                <wp:inline distT="0" distB="0" distL="114300" distR="114300">
                  <wp:extent cx="5441950" cy="2680970"/>
                  <wp:effectExtent l="0" t="0" r="6350" b="5080"/>
                  <wp:docPr id="20" name="图片 20" descr="170297343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02973439227"/>
                          <pic:cNvPicPr>
                            <a:picLocks noChangeAspect="1"/>
                          </pic:cNvPicPr>
                        </pic:nvPicPr>
                        <pic:blipFill>
                          <a:blip r:embed="rId19"/>
                          <a:stretch>
                            <a:fillRect/>
                          </a:stretch>
                        </pic:blipFill>
                        <pic:spPr>
                          <a:xfrm>
                            <a:off x="0" y="0"/>
                            <a:ext cx="5441950" cy="2680970"/>
                          </a:xfrm>
                          <a:prstGeom prst="rect">
                            <a:avLst/>
                          </a:prstGeom>
                        </pic:spPr>
                      </pic:pic>
                    </a:graphicData>
                  </a:graphic>
                </wp:inline>
              </w:drawing>
            </w:r>
          </w:p>
          <w:p>
            <w:pPr>
              <w:spacing w:line="360" w:lineRule="auto"/>
              <w:jc w:val="center"/>
              <w:rPr>
                <w:rFonts w:hint="default" w:cs="Times New Roman"/>
                <w:b/>
                <w:bCs/>
                <w:color w:val="auto"/>
                <w:kern w:val="24"/>
                <w:sz w:val="21"/>
                <w:szCs w:val="16"/>
                <w:highlight w:val="none"/>
                <w:lang w:val="en-US" w:eastAsia="zh-CN"/>
              </w:rPr>
            </w:pPr>
            <w:r>
              <w:rPr>
                <w:rFonts w:hint="eastAsia" w:cs="Times New Roman"/>
                <w:b/>
                <w:bCs/>
                <w:color w:val="auto"/>
                <w:kern w:val="24"/>
                <w:sz w:val="21"/>
                <w:szCs w:val="16"/>
                <w:highlight w:val="none"/>
                <w:lang w:val="en-US" w:eastAsia="zh-CN"/>
              </w:rPr>
              <w:t>图4-2水性漆物料平衡图</w:t>
            </w:r>
          </w:p>
          <w:p>
            <w:pPr>
              <w:spacing w:line="360" w:lineRule="auto"/>
              <w:ind w:firstLine="480" w:firstLineChars="200"/>
              <w:rPr>
                <w:rFonts w:hint="default" w:ascii="Times New Roman" w:hAnsi="Times New Roman" w:cs="Times New Roman" w:eastAsiaTheme="minorEastAsia"/>
                <w:b/>
                <w:color w:val="auto"/>
                <w:sz w:val="21"/>
                <w:szCs w:val="21"/>
                <w:highlight w:val="none"/>
                <w:lang w:val="en-US"/>
              </w:rPr>
            </w:pPr>
            <w:r>
              <w:rPr>
                <w:rFonts w:hint="default" w:ascii="Times New Roman" w:hAnsi="Times New Roman" w:eastAsia="宋体" w:cs="Times New Roman"/>
                <w:color w:val="auto"/>
                <w:kern w:val="24"/>
                <w:highlight w:val="none"/>
                <w:lang w:val="en-US" w:eastAsia="zh-CN"/>
              </w:rPr>
              <w:t>本项目调漆、喷漆、晾干各工序有机废气挥发比例参考《喷漆废气废漆渣的估算及处理措施》（文章编号 1003-8817（2006）11-0028-05</w:t>
            </w:r>
            <w:r>
              <w:rPr>
                <w:rFonts w:hint="eastAsia" w:ascii="Times New Roman" w:hAnsi="Times New Roman" w:eastAsia="宋体" w:cs="Times New Roman"/>
                <w:color w:val="auto"/>
                <w:kern w:val="24"/>
                <w:highlight w:val="none"/>
                <w:lang w:val="en-US" w:eastAsia="zh-CN"/>
              </w:rPr>
              <w:t>）</w:t>
            </w:r>
            <w:r>
              <w:rPr>
                <w:rFonts w:hint="default" w:ascii="Times New Roman" w:hAnsi="Times New Roman" w:eastAsia="宋体" w:cs="Times New Roman"/>
                <w:color w:val="auto"/>
                <w:kern w:val="24"/>
                <w:highlight w:val="none"/>
                <w:lang w:val="en-US" w:eastAsia="zh-CN"/>
              </w:rPr>
              <w:t>及建设单位提供设计资料。</w:t>
            </w:r>
            <w:r>
              <w:rPr>
                <w:rFonts w:hint="eastAsia" w:cs="Times New Roman"/>
                <w:color w:val="auto"/>
                <w:kern w:val="24"/>
                <w:highlight w:val="none"/>
                <w:lang w:val="en-US" w:eastAsia="zh-CN"/>
              </w:rPr>
              <w:t>本项目调漆、喷漆和晾干均独立进行，不同时进行，</w:t>
            </w:r>
            <w:r>
              <w:rPr>
                <w:rFonts w:hint="eastAsia" w:cs="Times New Roman"/>
                <w:color w:val="auto"/>
                <w:highlight w:val="none"/>
                <w:lang w:val="en-US" w:eastAsia="zh-CN"/>
              </w:rPr>
              <w:t>本项目油性漆底漆和油性漆面漆不同时进行，油性漆和水性漆不同时使用</w:t>
            </w:r>
            <w:r>
              <w:rPr>
                <w:rFonts w:hint="eastAsia" w:cs="Times New Roman"/>
                <w:color w:val="auto"/>
                <w:kern w:val="24"/>
                <w:highlight w:val="none"/>
                <w:lang w:val="en-US" w:eastAsia="zh-CN"/>
              </w:rPr>
              <w:t>。根据表4-5可知，与喷面漆相比，喷底漆时二甲苯、乙苯、TRVOC、非甲烷总烃产生量较多，并且调漆、喷漆时间相同，晾干时间更短，因此本项目进行环氧有机富锌底漆加工时，各污染物产生速率较大。</w:t>
            </w:r>
          </w:p>
          <w:p>
            <w:pPr>
              <w:spacing w:line="360" w:lineRule="auto"/>
              <w:jc w:val="center"/>
              <w:rPr>
                <w:rFonts w:hint="eastAsia"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rPr>
              <w:t>表4-</w:t>
            </w:r>
            <w:r>
              <w:rPr>
                <w:rFonts w:hint="eastAsia" w:cs="Times New Roman" w:eastAsiaTheme="minorEastAsia"/>
                <w:b/>
                <w:color w:val="auto"/>
                <w:sz w:val="21"/>
                <w:szCs w:val="21"/>
                <w:highlight w:val="none"/>
                <w:lang w:val="en-US" w:eastAsia="zh-CN"/>
              </w:rPr>
              <w:t>6</w:t>
            </w:r>
            <w:r>
              <w:rPr>
                <w:rFonts w:hint="default" w:ascii="Times New Roman" w:hAnsi="Times New Roman" w:cs="Times New Roman" w:eastAsiaTheme="minorEastAsia"/>
                <w:b/>
                <w:color w:val="auto"/>
                <w:sz w:val="21"/>
                <w:szCs w:val="21"/>
                <w:highlight w:val="none"/>
              </w:rPr>
              <w:t>本项目环氧有机富锌底漆有机废气</w:t>
            </w:r>
            <w:r>
              <w:rPr>
                <w:rFonts w:hint="eastAsia" w:cs="Times New Roman" w:eastAsiaTheme="minorEastAsia"/>
                <w:b/>
                <w:color w:val="auto"/>
                <w:sz w:val="21"/>
                <w:szCs w:val="21"/>
                <w:highlight w:val="none"/>
                <w:lang w:val="en-US" w:eastAsia="zh-CN"/>
              </w:rPr>
              <w:t>产生</w:t>
            </w:r>
            <w:r>
              <w:rPr>
                <w:rFonts w:hint="default" w:ascii="Times New Roman" w:hAnsi="Times New Roman" w:cs="Times New Roman" w:eastAsiaTheme="minorEastAsia"/>
                <w:b/>
                <w:color w:val="auto"/>
                <w:sz w:val="21"/>
                <w:szCs w:val="21"/>
                <w:highlight w:val="none"/>
              </w:rPr>
              <w:t>情况</w:t>
            </w:r>
            <w:r>
              <w:rPr>
                <w:rFonts w:hint="eastAsia" w:cs="Times New Roman" w:eastAsiaTheme="minorEastAsia"/>
                <w:b/>
                <w:color w:val="auto"/>
                <w:sz w:val="21"/>
                <w:szCs w:val="21"/>
                <w:highlight w:val="none"/>
                <w:lang w:val="en-US" w:eastAsia="zh-CN"/>
              </w:rPr>
              <w:t>一览表</w:t>
            </w:r>
          </w:p>
          <w:tbl>
            <w:tblPr>
              <w:tblStyle w:val="29"/>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852"/>
              <w:gridCol w:w="1338"/>
              <w:gridCol w:w="1140"/>
              <w:gridCol w:w="1048"/>
              <w:gridCol w:w="948"/>
              <w:gridCol w:w="1048"/>
              <w:gridCol w:w="1623"/>
              <w:gridCol w:w="107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02" w:hRule="atLeast"/>
              </w:trPr>
              <w:tc>
                <w:tcPr>
                  <w:tcW w:w="1207" w:type="pct"/>
                  <w:gridSpan w:val="2"/>
                  <w:vMerge w:val="restar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628" w:type="pct"/>
                  <w:vMerge w:val="restart"/>
                  <w:tcBorders>
                    <w:top w:val="single" w:color="auto" w:sz="8" w:space="0"/>
                    <w:left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工作时间</w:t>
                  </w:r>
                </w:p>
              </w:tc>
              <w:tc>
                <w:tcPr>
                  <w:tcW w:w="577" w:type="pct"/>
                  <w:vMerge w:val="restar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挥发比例</w:t>
                  </w:r>
                </w:p>
              </w:tc>
              <w:tc>
                <w:tcPr>
                  <w:tcW w:w="1993" w:type="pct"/>
                  <w:gridSpan w:val="3"/>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产生速率（kg/h）</w:t>
                  </w:r>
                </w:p>
              </w:tc>
              <w:tc>
                <w:tcPr>
                  <w:tcW w:w="593" w:type="pct"/>
                  <w:vMerge w:val="restar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治理措施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2" w:hRule="atLeast"/>
              </w:trPr>
              <w:tc>
                <w:tcPr>
                  <w:tcW w:w="1207" w:type="pct"/>
                  <w:gridSpan w:val="2"/>
                  <w:vMerge w:val="continue"/>
                  <w:tcBorders>
                    <w:top w:val="single" w:color="auto" w:sz="8" w:space="0"/>
                    <w:left w:val="single" w:color="auto" w:sz="8" w:space="0"/>
                    <w:bottom w:val="single" w:color="auto" w:sz="8" w:space="0"/>
                    <w:right w:val="single" w:color="auto" w:sz="8" w:space="0"/>
                  </w:tcBorders>
                  <w:vAlign w:val="center"/>
                </w:tcPr>
                <w:p>
                  <w:pPr>
                    <w:rPr>
                      <w:rFonts w:hint="default" w:ascii="Times New Roman" w:hAnsi="Times New Roman" w:cs="Times New Roman"/>
                      <w:color w:val="auto"/>
                      <w:sz w:val="21"/>
                      <w:szCs w:val="21"/>
                      <w:highlight w:val="none"/>
                    </w:rPr>
                  </w:pPr>
                </w:p>
              </w:tc>
              <w:tc>
                <w:tcPr>
                  <w:tcW w:w="628" w:type="pct"/>
                  <w:vMerge w:val="continue"/>
                  <w:tcBorders>
                    <w:left w:val="single" w:color="auto" w:sz="8" w:space="0"/>
                    <w:bottom w:val="single" w:color="auto" w:sz="8" w:space="0"/>
                    <w:right w:val="single" w:color="auto" w:sz="8" w:space="0"/>
                  </w:tcBorders>
                  <w:vAlign w:val="center"/>
                </w:tcPr>
                <w:p>
                  <w:pPr>
                    <w:rPr>
                      <w:rFonts w:hint="default" w:ascii="Times New Roman" w:hAnsi="Times New Roman" w:cs="Times New Roman"/>
                      <w:color w:val="auto"/>
                      <w:sz w:val="21"/>
                      <w:szCs w:val="21"/>
                      <w:highlight w:val="none"/>
                    </w:rPr>
                  </w:pPr>
                </w:p>
              </w:tc>
              <w:tc>
                <w:tcPr>
                  <w:tcW w:w="577" w:type="pct"/>
                  <w:vMerge w:val="continue"/>
                  <w:tcBorders>
                    <w:top w:val="single" w:color="auto" w:sz="8" w:space="0"/>
                    <w:left w:val="single" w:color="auto" w:sz="8" w:space="0"/>
                    <w:bottom w:val="single" w:color="auto" w:sz="8" w:space="0"/>
                    <w:right w:val="single" w:color="auto" w:sz="8" w:space="0"/>
                  </w:tcBorders>
                  <w:vAlign w:val="center"/>
                </w:tcPr>
                <w:p>
                  <w:pPr>
                    <w:rPr>
                      <w:rFonts w:hint="default" w:ascii="Times New Roman" w:hAnsi="Times New Roman" w:cs="Times New Roman"/>
                      <w:color w:val="auto"/>
                      <w:sz w:val="21"/>
                      <w:szCs w:val="21"/>
                      <w:highlight w:val="none"/>
                    </w:rPr>
                  </w:pPr>
                </w:p>
              </w:tc>
              <w:tc>
                <w:tcPr>
                  <w:tcW w:w="522" w:type="pct"/>
                  <w:tcBorders>
                    <w:top w:val="single" w:color="auto" w:sz="8" w:space="0"/>
                    <w:left w:val="single" w:color="auto" w:sz="8" w:space="0"/>
                    <w:bottom w:val="single" w:color="auto" w:sz="8" w:space="0"/>
                    <w:right w:val="single" w:color="auto" w:sz="8" w:space="0"/>
                  </w:tcBorders>
                  <w:vAlign w:val="center"/>
                </w:tcPr>
                <w:p>
                  <w:pPr>
                    <w:pStyle w:val="82"/>
                    <w:spacing w:before="0"/>
                    <w:rPr>
                      <w:rFonts w:hint="default" w:ascii="Times New Roman" w:hAnsi="Times New Roman" w:cs="Times New Roman"/>
                      <w:color w:val="auto"/>
                      <w:sz w:val="21"/>
                      <w:szCs w:val="21"/>
                      <w:highlight w:val="none"/>
                      <w:lang w:eastAsia="zh-CN"/>
                    </w:rPr>
                  </w:pPr>
                  <w:r>
                    <w:rPr>
                      <w:rFonts w:hint="eastAsia" w:ascii="Times New Roman" w:hAnsi="Times New Roman" w:cs="Times New Roman" w:eastAsiaTheme="minorEastAsia"/>
                      <w:bCs/>
                      <w:color w:val="auto"/>
                      <w:sz w:val="21"/>
                      <w:szCs w:val="21"/>
                      <w:highlight w:val="none"/>
                      <w:lang w:val="en-US" w:eastAsia="zh-CN"/>
                    </w:rPr>
                    <w:t>二甲苯</w:t>
                  </w:r>
                </w:p>
              </w:tc>
              <w:tc>
                <w:tcPr>
                  <w:tcW w:w="577" w:type="pct"/>
                  <w:tcBorders>
                    <w:top w:val="single" w:color="auto" w:sz="8" w:space="0"/>
                    <w:left w:val="single" w:color="auto" w:sz="8" w:space="0"/>
                    <w:bottom w:val="single" w:color="auto" w:sz="8" w:space="0"/>
                    <w:right w:val="single" w:color="auto" w:sz="8" w:space="0"/>
                  </w:tcBorders>
                  <w:vAlign w:val="center"/>
                </w:tcPr>
                <w:p>
                  <w:pPr>
                    <w:pStyle w:val="82"/>
                    <w:spacing w:before="0"/>
                    <w:rPr>
                      <w:rFonts w:hint="default" w:ascii="Times New Roman" w:hAnsi="Times New Roman" w:cs="Times New Roman"/>
                      <w:color w:val="auto"/>
                      <w:sz w:val="21"/>
                      <w:szCs w:val="21"/>
                      <w:highlight w:val="none"/>
                    </w:rPr>
                  </w:pPr>
                  <w:r>
                    <w:rPr>
                      <w:rFonts w:hint="eastAsia" w:ascii="Times New Roman" w:hAnsi="Times New Roman" w:cs="Times New Roman" w:eastAsiaTheme="minorEastAsia"/>
                      <w:bCs/>
                      <w:color w:val="auto"/>
                      <w:sz w:val="21"/>
                      <w:szCs w:val="21"/>
                      <w:highlight w:val="none"/>
                      <w:lang w:val="en-US" w:eastAsia="zh-CN"/>
                    </w:rPr>
                    <w:t>乙苯</w:t>
                  </w:r>
                </w:p>
              </w:tc>
              <w:tc>
                <w:tcPr>
                  <w:tcW w:w="893" w:type="pct"/>
                  <w:tcBorders>
                    <w:top w:val="single" w:color="auto" w:sz="8" w:space="0"/>
                    <w:left w:val="single" w:color="auto" w:sz="8" w:space="0"/>
                    <w:bottom w:val="single" w:color="auto" w:sz="8" w:space="0"/>
                    <w:right w:val="single" w:color="auto" w:sz="8" w:space="0"/>
                  </w:tcBorders>
                  <w:vAlign w:val="center"/>
                </w:tcPr>
                <w:p>
                  <w:pPr>
                    <w:pStyle w:val="82"/>
                    <w:spacing w:before="0"/>
                    <w:rPr>
                      <w:rFonts w:hint="default" w:ascii="Times New Roman" w:hAnsi="Times New Roman" w:cs="Times New Roman"/>
                      <w:color w:val="auto"/>
                      <w:sz w:val="21"/>
                      <w:szCs w:val="21"/>
                      <w:highlight w:val="none"/>
                    </w:rPr>
                  </w:pPr>
                  <w:r>
                    <w:rPr>
                      <w:rFonts w:hint="eastAsia" w:ascii="Times New Roman" w:hAnsi="Times New Roman" w:cs="Times New Roman" w:eastAsiaTheme="minorEastAsia"/>
                      <w:bCs/>
                      <w:color w:val="auto"/>
                      <w:sz w:val="21"/>
                      <w:szCs w:val="21"/>
                      <w:highlight w:val="none"/>
                      <w:lang w:val="en-US" w:eastAsia="zh-CN"/>
                    </w:rPr>
                    <w:t>TRVOC、非甲烷总烃</w:t>
                  </w:r>
                </w:p>
              </w:tc>
              <w:tc>
                <w:tcPr>
                  <w:tcW w:w="593" w:type="pct"/>
                  <w:vMerge w:val="continue"/>
                  <w:tcBorders>
                    <w:top w:val="single" w:color="auto" w:sz="8" w:space="0"/>
                    <w:left w:val="single" w:color="auto" w:sz="8" w:space="0"/>
                    <w:bottom w:val="single" w:color="auto" w:sz="8" w:space="0"/>
                    <w:right w:val="single" w:color="auto" w:sz="8" w:space="0"/>
                  </w:tcBorders>
                </w:tcPr>
                <w:p>
                  <w:pPr>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c>
                <w:tcPr>
                  <w:tcW w:w="470" w:type="pct"/>
                  <w:vMerge w:val="restart"/>
                  <w:tcBorders>
                    <w:top w:val="single" w:color="auto" w:sz="8" w:space="0"/>
                    <w:left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伸缩式</w:t>
                  </w:r>
                  <w:r>
                    <w:rPr>
                      <w:rFonts w:hint="default" w:ascii="Times New Roman" w:hAnsi="Times New Roman" w:cs="Times New Roman"/>
                      <w:color w:val="auto"/>
                      <w:sz w:val="21"/>
                      <w:szCs w:val="21"/>
                      <w:highlight w:val="none"/>
                    </w:rPr>
                    <w:t>喷漆房</w:t>
                  </w:r>
                </w:p>
              </w:tc>
              <w:tc>
                <w:tcPr>
                  <w:tcW w:w="736"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调漆工序</w:t>
                  </w:r>
                </w:p>
              </w:tc>
              <w:tc>
                <w:tcPr>
                  <w:tcW w:w="628"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h/a（0.</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5h/d）</w:t>
                  </w:r>
                </w:p>
              </w:tc>
              <w:tc>
                <w:tcPr>
                  <w:tcW w:w="57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522"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2.733</w:t>
                  </w:r>
                </w:p>
              </w:tc>
              <w:tc>
                <w:tcPr>
                  <w:tcW w:w="57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0.589</w:t>
                  </w:r>
                </w:p>
              </w:tc>
              <w:tc>
                <w:tcPr>
                  <w:tcW w:w="893" w:type="pct"/>
                  <w:tcBorders>
                    <w:top w:val="single" w:color="auto" w:sz="8" w:space="0"/>
                    <w:left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5.23</w:t>
                  </w:r>
                </w:p>
              </w:tc>
              <w:tc>
                <w:tcPr>
                  <w:tcW w:w="593" w:type="pct"/>
                  <w:vMerge w:val="restart"/>
                  <w:tcBorders>
                    <w:top w:val="single" w:color="auto" w:sz="8" w:space="0"/>
                    <w:left w:val="single" w:color="auto" w:sz="8" w:space="0"/>
                    <w:right w:val="single" w:color="auto" w:sz="8" w:space="0"/>
                  </w:tcBorders>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水帘</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干式</w:t>
                  </w:r>
                  <w:r>
                    <w:rPr>
                      <w:rFonts w:hint="default" w:ascii="Times New Roman" w:hAnsi="Times New Roman" w:cs="Times New Roman"/>
                      <w:color w:val="auto"/>
                      <w:sz w:val="21"/>
                      <w:szCs w:val="21"/>
                      <w:highlight w:val="none"/>
                    </w:rPr>
                    <w:t>过滤</w:t>
                  </w:r>
                  <w:r>
                    <w:rPr>
                      <w:rFonts w:hint="eastAsia" w:cs="Times New Roman"/>
                      <w:color w:val="auto"/>
                      <w:sz w:val="21"/>
                      <w:szCs w:val="21"/>
                      <w:highlight w:val="none"/>
                      <w:lang w:val="en-US" w:eastAsia="zh-CN"/>
                    </w:rPr>
                    <w:t>棉</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活性炭吸附、脱附催化燃烧</w:t>
                  </w:r>
                  <w:r>
                    <w:rPr>
                      <w:rFonts w:hint="default" w:ascii="Times New Roman" w:hAnsi="Times New Roman" w:cs="Times New Roman"/>
                      <w:color w:val="auto"/>
                      <w:sz w:val="21"/>
                      <w:szCs w:val="21"/>
                      <w:highlight w:val="none"/>
                    </w:rPr>
                    <w:t>装置+15m排气筒P</w:t>
                  </w:r>
                  <w:r>
                    <w:rPr>
                      <w:rFonts w:hint="eastAsia" w:cs="Times New Roman"/>
                      <w:color w:val="auto"/>
                      <w:sz w:val="21"/>
                      <w:szCs w:val="21"/>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470" w:type="pct"/>
                  <w:vMerge w:val="continue"/>
                  <w:tcBorders>
                    <w:left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p>
              </w:tc>
              <w:tc>
                <w:tcPr>
                  <w:tcW w:w="736"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喷漆工序</w:t>
                  </w:r>
                </w:p>
              </w:tc>
              <w:tc>
                <w:tcPr>
                  <w:tcW w:w="628"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180</w:t>
                  </w:r>
                  <w:r>
                    <w:rPr>
                      <w:rFonts w:hint="default" w:ascii="Times New Roman" w:hAnsi="Times New Roman" w:cs="Times New Roman"/>
                      <w:color w:val="auto"/>
                      <w:sz w:val="21"/>
                      <w:szCs w:val="21"/>
                      <w:highlight w:val="none"/>
                    </w:rPr>
                    <w:t>h/a（</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h/d）</w:t>
                  </w:r>
                </w:p>
              </w:tc>
              <w:tc>
                <w:tcPr>
                  <w:tcW w:w="57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522"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2.733</w:t>
                  </w:r>
                </w:p>
              </w:tc>
              <w:tc>
                <w:tcPr>
                  <w:tcW w:w="57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0.589</w:t>
                  </w:r>
                </w:p>
              </w:tc>
              <w:tc>
                <w:tcPr>
                  <w:tcW w:w="893" w:type="pct"/>
                  <w:tcBorders>
                    <w:left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5.23</w:t>
                  </w:r>
                </w:p>
              </w:tc>
              <w:tc>
                <w:tcPr>
                  <w:tcW w:w="593" w:type="pct"/>
                  <w:vMerge w:val="continue"/>
                  <w:tcBorders>
                    <w:left w:val="single" w:color="auto" w:sz="8" w:space="0"/>
                    <w:right w:val="single" w:color="auto" w:sz="8" w:space="0"/>
                  </w:tcBorders>
                  <w:vAlign w:val="center"/>
                </w:tcPr>
                <w:p>
                  <w:pPr>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470" w:type="pct"/>
                  <w:vMerge w:val="continue"/>
                  <w:tcBorders>
                    <w:left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p>
              </w:tc>
              <w:tc>
                <w:tcPr>
                  <w:tcW w:w="736"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晾干工序</w:t>
                  </w:r>
                </w:p>
              </w:tc>
              <w:tc>
                <w:tcPr>
                  <w:tcW w:w="628"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180</w:t>
                  </w:r>
                  <w:r>
                    <w:rPr>
                      <w:rFonts w:hint="default" w:ascii="Times New Roman" w:hAnsi="Times New Roman" w:cs="Times New Roman"/>
                      <w:color w:val="auto"/>
                      <w:sz w:val="21"/>
                      <w:szCs w:val="21"/>
                      <w:highlight w:val="none"/>
                    </w:rPr>
                    <w:t>h/a（</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h/d）</w:t>
                  </w:r>
                </w:p>
              </w:tc>
              <w:tc>
                <w:tcPr>
                  <w:tcW w:w="57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522"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1.594</w:t>
                  </w:r>
                </w:p>
              </w:tc>
              <w:tc>
                <w:tcPr>
                  <w:tcW w:w="57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0.344</w:t>
                  </w:r>
                </w:p>
              </w:tc>
              <w:tc>
                <w:tcPr>
                  <w:tcW w:w="893" w:type="pct"/>
                  <w:tcBorders>
                    <w:left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3.051</w:t>
                  </w:r>
                </w:p>
              </w:tc>
              <w:tc>
                <w:tcPr>
                  <w:tcW w:w="593" w:type="pct"/>
                  <w:vMerge w:val="continue"/>
                  <w:tcBorders>
                    <w:left w:val="single" w:color="auto" w:sz="8" w:space="0"/>
                    <w:right w:val="single" w:color="auto" w:sz="8" w:space="0"/>
                  </w:tcBorders>
                  <w:vAlign w:val="center"/>
                </w:tcPr>
                <w:p>
                  <w:pPr>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1207" w:type="pct"/>
                  <w:gridSpan w:val="2"/>
                  <w:tcBorders>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最大产生速率（喷漆</w:t>
                  </w:r>
                  <w:r>
                    <w:rPr>
                      <w:rFonts w:hint="eastAsia" w:cs="Times New Roman"/>
                      <w:color w:val="auto"/>
                      <w:sz w:val="21"/>
                      <w:szCs w:val="21"/>
                      <w:highlight w:val="none"/>
                      <w:lang w:val="en-US" w:eastAsia="zh-CN"/>
                    </w:rPr>
                    <w:t>时</w:t>
                  </w:r>
                  <w:r>
                    <w:rPr>
                      <w:rFonts w:hint="default" w:ascii="Times New Roman" w:hAnsi="Times New Roman" w:cs="Times New Roman"/>
                      <w:color w:val="auto"/>
                      <w:sz w:val="21"/>
                      <w:szCs w:val="21"/>
                      <w:highlight w:val="none"/>
                    </w:rPr>
                    <w:t>）</w:t>
                  </w:r>
                </w:p>
              </w:tc>
              <w:tc>
                <w:tcPr>
                  <w:tcW w:w="628" w:type="pct"/>
                  <w:tcBorders>
                    <w:top w:val="single" w:color="auto" w:sz="8" w:space="0"/>
                    <w:left w:val="single" w:color="auto" w:sz="8" w:space="0"/>
                    <w:bottom w:val="single" w:color="auto" w:sz="8" w:space="0"/>
                    <w:right w:val="single" w:color="auto" w:sz="8" w:space="0"/>
                  </w:tcBorders>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7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60</w:t>
                  </w:r>
                  <w:r>
                    <w:rPr>
                      <w:rFonts w:hint="default" w:ascii="Times New Roman" w:hAnsi="Times New Roman" w:cs="Times New Roman"/>
                      <w:color w:val="auto"/>
                      <w:sz w:val="21"/>
                      <w:szCs w:val="21"/>
                      <w:highlight w:val="none"/>
                    </w:rPr>
                    <w:t>%</w:t>
                  </w:r>
                </w:p>
              </w:tc>
              <w:tc>
                <w:tcPr>
                  <w:tcW w:w="894"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2.733</w:t>
                  </w:r>
                </w:p>
              </w:tc>
              <w:tc>
                <w:tcPr>
                  <w:tcW w:w="988" w:type="dxa"/>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0.589</w:t>
                  </w:r>
                </w:p>
              </w:tc>
              <w:tc>
                <w:tcPr>
                  <w:tcW w:w="1531" w:type="dxa"/>
                  <w:tcBorders>
                    <w:left w:val="single" w:color="auto" w:sz="8" w:space="0"/>
                    <w:bottom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5.23</w:t>
                  </w:r>
                </w:p>
              </w:tc>
              <w:tc>
                <w:tcPr>
                  <w:tcW w:w="593" w:type="pct"/>
                  <w:vMerge w:val="continue"/>
                  <w:tcBorders>
                    <w:left w:val="single" w:color="auto" w:sz="8" w:space="0"/>
                    <w:right w:val="single" w:color="auto" w:sz="8" w:space="0"/>
                  </w:tcBorders>
                  <w:vAlign w:val="center"/>
                </w:tcPr>
                <w:p>
                  <w:pPr>
                    <w:rPr>
                      <w:rFonts w:hint="default" w:ascii="Times New Roman" w:hAnsi="Times New Roman" w:cs="Times New Roman"/>
                      <w:color w:val="auto"/>
                      <w:sz w:val="21"/>
                      <w:szCs w:val="21"/>
                      <w:highlight w:val="none"/>
                    </w:rPr>
                  </w:pPr>
                </w:p>
              </w:tc>
            </w:tr>
          </w:tbl>
          <w:p>
            <w:pPr>
              <w:spacing w:line="360" w:lineRule="auto"/>
              <w:jc w:val="center"/>
              <w:rPr>
                <w:rFonts w:hint="eastAsia" w:ascii="Times New Roman" w:hAnsi="Times New Roman" w:cs="Times New Roman" w:eastAsiaTheme="minorEastAsia"/>
                <w:b/>
                <w:color w:val="auto"/>
                <w:sz w:val="21"/>
                <w:szCs w:val="21"/>
                <w:highlight w:val="none"/>
                <w:lang w:val="en-US" w:eastAsia="zh-CN"/>
              </w:rPr>
            </w:pPr>
            <w:r>
              <w:rPr>
                <w:rFonts w:hint="default" w:ascii="Times New Roman" w:hAnsi="Times New Roman" w:cs="Times New Roman" w:eastAsiaTheme="minorEastAsia"/>
                <w:b/>
                <w:color w:val="auto"/>
                <w:sz w:val="21"/>
                <w:szCs w:val="21"/>
                <w:highlight w:val="none"/>
              </w:rPr>
              <w:t>表4-</w:t>
            </w:r>
            <w:r>
              <w:rPr>
                <w:rFonts w:hint="eastAsia" w:ascii="Times New Roman" w:hAnsi="Times New Roman" w:cs="Times New Roman" w:eastAsiaTheme="minorEastAsia"/>
                <w:b/>
                <w:color w:val="auto"/>
                <w:sz w:val="21"/>
                <w:szCs w:val="21"/>
                <w:highlight w:val="none"/>
                <w:lang w:val="en-US" w:eastAsia="zh-CN"/>
              </w:rPr>
              <w:t>7</w:t>
            </w:r>
            <w:r>
              <w:rPr>
                <w:rFonts w:hint="default" w:ascii="Times New Roman" w:hAnsi="Times New Roman" w:cs="Times New Roman" w:eastAsiaTheme="minorEastAsia"/>
                <w:b/>
                <w:color w:val="auto"/>
                <w:sz w:val="21"/>
                <w:szCs w:val="21"/>
                <w:highlight w:val="none"/>
              </w:rPr>
              <w:t>本项目</w:t>
            </w:r>
            <w:r>
              <w:rPr>
                <w:rFonts w:hint="eastAsia" w:cs="Times New Roman" w:eastAsiaTheme="minorEastAsia"/>
                <w:b/>
                <w:color w:val="auto"/>
                <w:sz w:val="21"/>
                <w:szCs w:val="21"/>
                <w:highlight w:val="none"/>
                <w:lang w:val="en-US" w:eastAsia="zh-CN"/>
              </w:rPr>
              <w:t>水性漆</w:t>
            </w:r>
            <w:r>
              <w:rPr>
                <w:rFonts w:hint="default" w:ascii="Times New Roman" w:hAnsi="Times New Roman" w:cs="Times New Roman" w:eastAsiaTheme="minorEastAsia"/>
                <w:b/>
                <w:color w:val="auto"/>
                <w:sz w:val="21"/>
                <w:szCs w:val="21"/>
                <w:highlight w:val="none"/>
              </w:rPr>
              <w:t>有机废气</w:t>
            </w:r>
            <w:r>
              <w:rPr>
                <w:rFonts w:hint="eastAsia" w:cs="Times New Roman" w:eastAsiaTheme="minorEastAsia"/>
                <w:b/>
                <w:color w:val="auto"/>
                <w:sz w:val="21"/>
                <w:szCs w:val="21"/>
                <w:highlight w:val="none"/>
                <w:lang w:val="en-US" w:eastAsia="zh-CN"/>
              </w:rPr>
              <w:t>产生</w:t>
            </w:r>
            <w:r>
              <w:rPr>
                <w:rFonts w:hint="default" w:ascii="Times New Roman" w:hAnsi="Times New Roman" w:cs="Times New Roman" w:eastAsiaTheme="minorEastAsia"/>
                <w:b/>
                <w:color w:val="auto"/>
                <w:sz w:val="21"/>
                <w:szCs w:val="21"/>
                <w:highlight w:val="none"/>
              </w:rPr>
              <w:t>情况</w:t>
            </w:r>
            <w:r>
              <w:rPr>
                <w:rFonts w:hint="eastAsia" w:cs="Times New Roman" w:eastAsiaTheme="minorEastAsia"/>
                <w:b/>
                <w:color w:val="auto"/>
                <w:sz w:val="21"/>
                <w:szCs w:val="21"/>
                <w:highlight w:val="none"/>
                <w:lang w:val="en-US" w:eastAsia="zh-CN"/>
              </w:rPr>
              <w:t>一览表</w:t>
            </w:r>
          </w:p>
          <w:tbl>
            <w:tblPr>
              <w:tblStyle w:val="29"/>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1168"/>
              <w:gridCol w:w="1810"/>
              <w:gridCol w:w="1665"/>
              <w:gridCol w:w="1066"/>
              <w:gridCol w:w="1905"/>
              <w:gridCol w:w="14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02" w:hRule="atLeast"/>
              </w:trPr>
              <w:tc>
                <w:tcPr>
                  <w:tcW w:w="1641" w:type="pct"/>
                  <w:gridSpan w:val="2"/>
                  <w:vMerge w:val="restar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917" w:type="pct"/>
                  <w:vMerge w:val="restart"/>
                  <w:tcBorders>
                    <w:top w:val="single" w:color="auto" w:sz="8" w:space="0"/>
                    <w:left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工作时间</w:t>
                  </w:r>
                </w:p>
              </w:tc>
              <w:tc>
                <w:tcPr>
                  <w:tcW w:w="587" w:type="pct"/>
                  <w:vMerge w:val="restar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挥发比例</w:t>
                  </w:r>
                </w:p>
              </w:tc>
              <w:tc>
                <w:tcPr>
                  <w:tcW w:w="1049"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产生速率（kg/h）</w:t>
                  </w:r>
                </w:p>
              </w:tc>
              <w:tc>
                <w:tcPr>
                  <w:tcW w:w="804" w:type="pct"/>
                  <w:vMerge w:val="restar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治理措施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52" w:hRule="atLeast"/>
              </w:trPr>
              <w:tc>
                <w:tcPr>
                  <w:tcW w:w="1641" w:type="pct"/>
                  <w:gridSpan w:val="2"/>
                  <w:vMerge w:val="continue"/>
                  <w:tcBorders>
                    <w:top w:val="single" w:color="auto" w:sz="8" w:space="0"/>
                    <w:left w:val="single" w:color="auto" w:sz="8" w:space="0"/>
                    <w:bottom w:val="single" w:color="auto" w:sz="8" w:space="0"/>
                    <w:right w:val="single" w:color="auto" w:sz="8" w:space="0"/>
                  </w:tcBorders>
                  <w:vAlign w:val="center"/>
                </w:tcPr>
                <w:p>
                  <w:pPr>
                    <w:rPr>
                      <w:rFonts w:hint="default" w:ascii="Times New Roman" w:hAnsi="Times New Roman" w:cs="Times New Roman"/>
                      <w:color w:val="auto"/>
                      <w:sz w:val="21"/>
                      <w:szCs w:val="21"/>
                      <w:highlight w:val="none"/>
                    </w:rPr>
                  </w:pPr>
                </w:p>
              </w:tc>
              <w:tc>
                <w:tcPr>
                  <w:tcW w:w="917" w:type="pct"/>
                  <w:vMerge w:val="continue"/>
                  <w:tcBorders>
                    <w:left w:val="single" w:color="auto" w:sz="8" w:space="0"/>
                    <w:bottom w:val="single" w:color="auto" w:sz="8" w:space="0"/>
                    <w:right w:val="single" w:color="auto" w:sz="8" w:space="0"/>
                  </w:tcBorders>
                  <w:vAlign w:val="center"/>
                </w:tcPr>
                <w:p>
                  <w:pPr>
                    <w:rPr>
                      <w:rFonts w:hint="default" w:ascii="Times New Roman" w:hAnsi="Times New Roman" w:cs="Times New Roman"/>
                      <w:color w:val="auto"/>
                      <w:sz w:val="21"/>
                      <w:szCs w:val="21"/>
                      <w:highlight w:val="none"/>
                    </w:rPr>
                  </w:pPr>
                </w:p>
              </w:tc>
              <w:tc>
                <w:tcPr>
                  <w:tcW w:w="587" w:type="pct"/>
                  <w:vMerge w:val="continue"/>
                  <w:tcBorders>
                    <w:top w:val="single" w:color="auto" w:sz="8" w:space="0"/>
                    <w:left w:val="single" w:color="auto" w:sz="8" w:space="0"/>
                    <w:bottom w:val="single" w:color="auto" w:sz="8" w:space="0"/>
                    <w:right w:val="single" w:color="auto" w:sz="8" w:space="0"/>
                  </w:tcBorders>
                  <w:vAlign w:val="center"/>
                </w:tcPr>
                <w:p>
                  <w:pPr>
                    <w:rPr>
                      <w:rFonts w:hint="default" w:ascii="Times New Roman" w:hAnsi="Times New Roman" w:cs="Times New Roman"/>
                      <w:color w:val="auto"/>
                      <w:sz w:val="21"/>
                      <w:szCs w:val="21"/>
                      <w:highlight w:val="none"/>
                    </w:rPr>
                  </w:pPr>
                </w:p>
              </w:tc>
              <w:tc>
                <w:tcPr>
                  <w:tcW w:w="1049" w:type="pct"/>
                  <w:tcBorders>
                    <w:top w:val="single" w:color="auto" w:sz="8" w:space="0"/>
                    <w:left w:val="single" w:color="auto" w:sz="8" w:space="0"/>
                    <w:bottom w:val="single" w:color="auto" w:sz="8" w:space="0"/>
                    <w:right w:val="single" w:color="auto" w:sz="8" w:space="0"/>
                  </w:tcBorders>
                  <w:vAlign w:val="center"/>
                </w:tcPr>
                <w:p>
                  <w:pPr>
                    <w:pStyle w:val="82"/>
                    <w:spacing w:before="0"/>
                    <w:rPr>
                      <w:rFonts w:hint="default" w:ascii="Times New Roman" w:hAnsi="Times New Roman" w:cs="Times New Roman"/>
                      <w:color w:val="auto"/>
                      <w:sz w:val="21"/>
                      <w:szCs w:val="21"/>
                      <w:highlight w:val="none"/>
                    </w:rPr>
                  </w:pPr>
                  <w:r>
                    <w:rPr>
                      <w:rFonts w:hint="eastAsia" w:ascii="Times New Roman" w:hAnsi="Times New Roman" w:cs="Times New Roman" w:eastAsiaTheme="minorEastAsia"/>
                      <w:bCs/>
                      <w:color w:val="auto"/>
                      <w:sz w:val="21"/>
                      <w:szCs w:val="21"/>
                      <w:highlight w:val="none"/>
                      <w:lang w:val="en-US" w:eastAsia="zh-CN"/>
                    </w:rPr>
                    <w:t>TRVOC、非甲烷总烃</w:t>
                  </w:r>
                </w:p>
              </w:tc>
              <w:tc>
                <w:tcPr>
                  <w:tcW w:w="804" w:type="pct"/>
                  <w:vMerge w:val="continue"/>
                  <w:tcBorders>
                    <w:top w:val="single" w:color="auto" w:sz="8" w:space="0"/>
                    <w:left w:val="single" w:color="auto" w:sz="8" w:space="0"/>
                    <w:bottom w:val="single" w:color="auto" w:sz="8" w:space="0"/>
                    <w:right w:val="single" w:color="auto" w:sz="8" w:space="0"/>
                  </w:tcBorders>
                </w:tcPr>
                <w:p>
                  <w:pPr>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c>
                <w:tcPr>
                  <w:tcW w:w="644" w:type="pct"/>
                  <w:vMerge w:val="restart"/>
                  <w:tcBorders>
                    <w:top w:val="single" w:color="auto" w:sz="8" w:space="0"/>
                    <w:left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伸缩式</w:t>
                  </w:r>
                  <w:r>
                    <w:rPr>
                      <w:rFonts w:hint="default" w:ascii="Times New Roman" w:hAnsi="Times New Roman" w:cs="Times New Roman"/>
                      <w:color w:val="auto"/>
                      <w:sz w:val="21"/>
                      <w:szCs w:val="21"/>
                      <w:highlight w:val="none"/>
                    </w:rPr>
                    <w:t>喷漆房</w:t>
                  </w:r>
                </w:p>
              </w:tc>
              <w:tc>
                <w:tcPr>
                  <w:tcW w:w="99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调漆工序</w:t>
                  </w:r>
                </w:p>
              </w:tc>
              <w:tc>
                <w:tcPr>
                  <w:tcW w:w="91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r>
                    <w:rPr>
                      <w:rFonts w:hint="eastAsia"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h/a（0.5h/d）</w:t>
                  </w:r>
                </w:p>
              </w:tc>
              <w:tc>
                <w:tcPr>
                  <w:tcW w:w="58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049" w:type="pct"/>
                  <w:tcBorders>
                    <w:top w:val="single" w:color="auto" w:sz="8" w:space="0"/>
                    <w:left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0.525</w:t>
                  </w:r>
                </w:p>
              </w:tc>
              <w:tc>
                <w:tcPr>
                  <w:tcW w:w="804" w:type="pct"/>
                  <w:vMerge w:val="restart"/>
                  <w:tcBorders>
                    <w:top w:val="single" w:color="auto" w:sz="8" w:space="0"/>
                    <w:left w:val="single" w:color="auto" w:sz="8" w:space="0"/>
                    <w:right w:val="single" w:color="auto" w:sz="8" w:space="0"/>
                  </w:tcBorders>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水帘</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干式</w:t>
                  </w:r>
                  <w:r>
                    <w:rPr>
                      <w:rFonts w:hint="default" w:ascii="Times New Roman" w:hAnsi="Times New Roman" w:cs="Times New Roman"/>
                      <w:color w:val="auto"/>
                      <w:sz w:val="21"/>
                      <w:szCs w:val="21"/>
                      <w:highlight w:val="none"/>
                    </w:rPr>
                    <w:t>过滤</w:t>
                  </w:r>
                  <w:r>
                    <w:rPr>
                      <w:rFonts w:hint="eastAsia" w:ascii="Times New Roman" w:hAnsi="Times New Roman" w:cs="Times New Roman"/>
                      <w:color w:val="auto"/>
                      <w:sz w:val="21"/>
                      <w:szCs w:val="21"/>
                      <w:highlight w:val="none"/>
                      <w:lang w:val="en-US" w:eastAsia="zh-CN"/>
                    </w:rPr>
                    <w:t>棉</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活性炭吸附、脱附催化燃烧</w:t>
                  </w:r>
                  <w:r>
                    <w:rPr>
                      <w:rFonts w:hint="default" w:ascii="Times New Roman" w:hAnsi="Times New Roman" w:cs="Times New Roman"/>
                      <w:color w:val="auto"/>
                      <w:sz w:val="21"/>
                      <w:szCs w:val="21"/>
                      <w:highlight w:val="none"/>
                    </w:rPr>
                    <w:t>装置+15m排气筒P</w:t>
                  </w:r>
                  <w:r>
                    <w:rPr>
                      <w:rFonts w:hint="eastAsia" w:ascii="Times New Roman" w:hAnsi="Times New Roman" w:cs="Times New Roman"/>
                      <w:color w:val="auto"/>
                      <w:sz w:val="21"/>
                      <w:szCs w:val="21"/>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644" w:type="pct"/>
                  <w:vMerge w:val="continue"/>
                  <w:tcBorders>
                    <w:left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p>
              </w:tc>
              <w:tc>
                <w:tcPr>
                  <w:tcW w:w="99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喷漆工序</w:t>
                  </w:r>
                </w:p>
              </w:tc>
              <w:tc>
                <w:tcPr>
                  <w:tcW w:w="91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1440</w:t>
                  </w:r>
                  <w:r>
                    <w:rPr>
                      <w:rFonts w:hint="default" w:ascii="Times New Roman" w:hAnsi="Times New Roman" w:cs="Times New Roman"/>
                      <w:color w:val="auto"/>
                      <w:sz w:val="21"/>
                      <w:szCs w:val="21"/>
                      <w:highlight w:val="none"/>
                    </w:rPr>
                    <w:t>h/a（</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h/d）</w:t>
                  </w:r>
                </w:p>
              </w:tc>
              <w:tc>
                <w:tcPr>
                  <w:tcW w:w="58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1049" w:type="pct"/>
                  <w:tcBorders>
                    <w:left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0.525</w:t>
                  </w:r>
                </w:p>
              </w:tc>
              <w:tc>
                <w:tcPr>
                  <w:tcW w:w="804" w:type="pct"/>
                  <w:vMerge w:val="continue"/>
                  <w:tcBorders>
                    <w:left w:val="single" w:color="auto" w:sz="8" w:space="0"/>
                    <w:right w:val="single" w:color="auto" w:sz="8" w:space="0"/>
                  </w:tcBorders>
                  <w:vAlign w:val="center"/>
                </w:tcPr>
                <w:p>
                  <w:pPr>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644" w:type="pct"/>
                  <w:vMerge w:val="continue"/>
                  <w:tcBorders>
                    <w:left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p>
              </w:tc>
              <w:tc>
                <w:tcPr>
                  <w:tcW w:w="99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晾干工序</w:t>
                  </w:r>
                </w:p>
              </w:tc>
              <w:tc>
                <w:tcPr>
                  <w:tcW w:w="91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1920</w:t>
                  </w:r>
                  <w:r>
                    <w:rPr>
                      <w:rFonts w:hint="default" w:ascii="Times New Roman" w:hAnsi="Times New Roman" w:cs="Times New Roman"/>
                      <w:color w:val="auto"/>
                      <w:sz w:val="21"/>
                      <w:szCs w:val="21"/>
                      <w:highlight w:val="none"/>
                    </w:rPr>
                    <w:t>h/a（</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h/d）</w:t>
                  </w:r>
                </w:p>
              </w:tc>
              <w:tc>
                <w:tcPr>
                  <w:tcW w:w="58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1049" w:type="pct"/>
                  <w:tcBorders>
                    <w:left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0.230</w:t>
                  </w:r>
                </w:p>
              </w:tc>
              <w:tc>
                <w:tcPr>
                  <w:tcW w:w="804" w:type="pct"/>
                  <w:vMerge w:val="continue"/>
                  <w:tcBorders>
                    <w:left w:val="single" w:color="auto" w:sz="8" w:space="0"/>
                    <w:right w:val="single" w:color="auto" w:sz="8" w:space="0"/>
                  </w:tcBorders>
                  <w:vAlign w:val="center"/>
                </w:tcPr>
                <w:p>
                  <w:pPr>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1641" w:type="pct"/>
                  <w:gridSpan w:val="2"/>
                  <w:tcBorders>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最大产生速率（喷漆时）</w:t>
                  </w:r>
                </w:p>
              </w:tc>
              <w:tc>
                <w:tcPr>
                  <w:tcW w:w="917" w:type="pct"/>
                  <w:tcBorders>
                    <w:top w:val="single" w:color="auto" w:sz="8" w:space="0"/>
                    <w:left w:val="single" w:color="auto" w:sz="8" w:space="0"/>
                    <w:bottom w:val="single" w:color="auto" w:sz="8" w:space="0"/>
                    <w:right w:val="single" w:color="auto" w:sz="8" w:space="0"/>
                  </w:tcBorders>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87" w:type="pct"/>
                  <w:tcBorders>
                    <w:top w:val="single" w:color="auto" w:sz="8" w:space="0"/>
                    <w:left w:val="single" w:color="auto" w:sz="8" w:space="0"/>
                    <w:bottom w:val="single" w:color="auto" w:sz="8" w:space="0"/>
                    <w:right w:val="single" w:color="auto" w:sz="8"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60</w:t>
                  </w:r>
                  <w:r>
                    <w:rPr>
                      <w:rFonts w:hint="default" w:ascii="Times New Roman" w:hAnsi="Times New Roman" w:cs="Times New Roman"/>
                      <w:color w:val="auto"/>
                      <w:sz w:val="21"/>
                      <w:szCs w:val="21"/>
                      <w:highlight w:val="none"/>
                    </w:rPr>
                    <w:t>%</w:t>
                  </w:r>
                </w:p>
              </w:tc>
              <w:tc>
                <w:tcPr>
                  <w:tcW w:w="1049" w:type="pct"/>
                  <w:tcBorders>
                    <w:left w:val="single" w:color="auto" w:sz="8" w:space="0"/>
                    <w:bottom w:val="single" w:color="auto" w:sz="8" w:space="0"/>
                    <w:right w:val="single" w:color="auto" w:sz="8"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0.525</w:t>
                  </w:r>
                </w:p>
              </w:tc>
              <w:tc>
                <w:tcPr>
                  <w:tcW w:w="804" w:type="pct"/>
                  <w:vMerge w:val="continue"/>
                  <w:tcBorders>
                    <w:left w:val="single" w:color="auto" w:sz="8" w:space="0"/>
                    <w:right w:val="single" w:color="auto" w:sz="8" w:space="0"/>
                  </w:tcBorders>
                  <w:vAlign w:val="center"/>
                </w:tcPr>
                <w:p>
                  <w:pPr>
                    <w:rPr>
                      <w:rFonts w:hint="default" w:ascii="Times New Roman" w:hAnsi="Times New Roman" w:cs="Times New Roman"/>
                      <w:color w:val="auto"/>
                      <w:sz w:val="21"/>
                      <w:szCs w:val="21"/>
                      <w:highlight w:val="none"/>
                    </w:rPr>
                  </w:pPr>
                </w:p>
              </w:tc>
            </w:tr>
          </w:tbl>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cs="Times New Roman"/>
                <w:color w:val="auto"/>
                <w:highlight w:val="none"/>
                <w:lang w:val="en-US" w:eastAsia="zh-CN"/>
              </w:rPr>
              <w:t>伸缩式</w:t>
            </w:r>
            <w:r>
              <w:rPr>
                <w:rFonts w:hint="default" w:ascii="Times New Roman" w:hAnsi="Times New Roman" w:cs="Times New Roman"/>
                <w:color w:val="auto"/>
                <w:highlight w:val="none"/>
              </w:rPr>
              <w:t>喷漆房为密闭负压设置，采用整体换风方式收集有机废气，收集效率</w:t>
            </w:r>
            <w:r>
              <w:rPr>
                <w:rFonts w:hint="eastAsia" w:cs="Times New Roman"/>
                <w:color w:val="auto"/>
                <w:highlight w:val="none"/>
                <w:lang w:val="en-US" w:eastAsia="zh-CN"/>
              </w:rPr>
              <w:t>97</w:t>
            </w:r>
            <w:r>
              <w:rPr>
                <w:rFonts w:hint="default" w:ascii="Times New Roman" w:hAnsi="Times New Roman" w:cs="Times New Roman"/>
                <w:color w:val="auto"/>
                <w:highlight w:val="none"/>
              </w:rPr>
              <w:t>%，调漆-喷漆-晾干过程中的废气均被收集后，</w:t>
            </w:r>
            <w:r>
              <w:rPr>
                <w:rFonts w:hint="eastAsia" w:cs="Times New Roman"/>
                <w:color w:val="auto"/>
                <w:highlight w:val="none"/>
                <w:lang w:val="en-US" w:eastAsia="zh-CN"/>
              </w:rPr>
              <w:t>经</w:t>
            </w:r>
            <w:r>
              <w:rPr>
                <w:rFonts w:hint="default" w:ascii="Times New Roman" w:hAnsi="Times New Roman" w:cs="Times New Roman"/>
                <w:color w:val="auto"/>
                <w:highlight w:val="none"/>
              </w:rPr>
              <w:t>“水帘+干式过滤</w:t>
            </w:r>
            <w:r>
              <w:rPr>
                <w:rFonts w:hint="eastAsia" w:cs="Times New Roman"/>
                <w:color w:val="auto"/>
                <w:highlight w:val="none"/>
                <w:lang w:val="en-US" w:eastAsia="zh-CN"/>
              </w:rPr>
              <w:t>棉</w:t>
            </w:r>
            <w:r>
              <w:rPr>
                <w:rFonts w:hint="default" w:ascii="Times New Roman" w:hAnsi="Times New Roman" w:cs="Times New Roman"/>
                <w:color w:val="auto"/>
                <w:highlight w:val="none"/>
              </w:rPr>
              <w:t>+</w:t>
            </w:r>
            <w:r>
              <w:rPr>
                <w:rFonts w:hint="eastAsia" w:cs="Times New Roman"/>
                <w:color w:val="auto"/>
                <w:highlight w:val="none"/>
                <w:lang w:eastAsia="zh-CN"/>
              </w:rPr>
              <w:t>活性炭吸附、脱附催化燃烧</w:t>
            </w:r>
            <w:r>
              <w:rPr>
                <w:rFonts w:hint="default" w:ascii="Times New Roman" w:hAnsi="Times New Roman" w:cs="Times New Roman"/>
                <w:color w:val="auto"/>
                <w:highlight w:val="none"/>
              </w:rPr>
              <w:t>装置”进行处理后通过1根15m高排气筒P</w:t>
            </w:r>
            <w:r>
              <w:rPr>
                <w:rFonts w:hint="eastAsia" w:cs="Times New Roman"/>
                <w:color w:val="auto"/>
                <w:highlight w:val="none"/>
                <w:lang w:val="en-US" w:eastAsia="zh-CN"/>
              </w:rPr>
              <w:t>6</w:t>
            </w:r>
            <w:r>
              <w:rPr>
                <w:rFonts w:hint="default" w:ascii="Times New Roman" w:hAnsi="Times New Roman" w:cs="Times New Roman"/>
                <w:color w:val="auto"/>
                <w:highlight w:val="none"/>
              </w:rPr>
              <w:t>排放，则本项目有机废气产排情况见下表。</w:t>
            </w:r>
          </w:p>
          <w:p>
            <w:pPr>
              <w:spacing w:line="360" w:lineRule="auto"/>
              <w:ind w:firstLine="480" w:firstLineChars="200"/>
              <w:rPr>
                <w:rFonts w:hint="default" w:cs="Times New Roman"/>
                <w:color w:val="auto"/>
                <w:highlight w:val="none"/>
                <w:lang w:val="en-US" w:eastAsia="zh-CN"/>
              </w:rPr>
            </w:pPr>
            <w:r>
              <w:rPr>
                <w:rFonts w:hint="eastAsia" w:cs="Times New Roman"/>
                <w:color w:val="auto"/>
                <w:highlight w:val="none"/>
                <w:lang w:val="en-US" w:eastAsia="zh-CN"/>
              </w:rPr>
              <w:t>本项目喷漆分为喷油性漆和水性漆，由挥发性有机物产生速率可知，当本项目进行油性漆底漆喷涂时为本项目最大工况。油性漆喷涂时分为活性炭吸附、脱附催化燃烧装置仅吸附阶段和吸附、脱附同时进行阶段。本项目油性漆和水性漆不同时使用。</w:t>
            </w:r>
          </w:p>
          <w:p>
            <w:pPr>
              <w:spacing w:line="360" w:lineRule="auto"/>
              <w:ind w:firstLine="422" w:firstLineChars="200"/>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8</w:t>
            </w:r>
            <w:r>
              <w:rPr>
                <w:rFonts w:hint="default" w:ascii="Times New Roman" w:hAnsi="Times New Roman" w:cs="Times New Roman"/>
                <w:b/>
                <w:bCs/>
                <w:color w:val="auto"/>
                <w:sz w:val="21"/>
                <w:szCs w:val="21"/>
                <w:highlight w:val="none"/>
              </w:rPr>
              <w:t>本项目</w:t>
            </w:r>
            <w:r>
              <w:rPr>
                <w:rFonts w:hint="eastAsia" w:cs="Times New Roman"/>
                <w:b/>
                <w:bCs/>
                <w:color w:val="auto"/>
                <w:sz w:val="21"/>
                <w:szCs w:val="21"/>
                <w:highlight w:val="none"/>
                <w:lang w:val="en-US" w:eastAsia="zh-CN"/>
              </w:rPr>
              <w:t>喷油性底漆</w:t>
            </w:r>
            <w:r>
              <w:rPr>
                <w:rFonts w:hint="default" w:ascii="Times New Roman" w:hAnsi="Times New Roman" w:cs="Times New Roman"/>
                <w:b/>
                <w:bCs/>
                <w:color w:val="auto"/>
                <w:sz w:val="21"/>
                <w:szCs w:val="21"/>
                <w:highlight w:val="none"/>
              </w:rPr>
              <w:t>有机废气排放情况（只吸附阶段）</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244"/>
              <w:gridCol w:w="950"/>
              <w:gridCol w:w="1085"/>
              <w:gridCol w:w="1135"/>
              <w:gridCol w:w="1626"/>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84"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685"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产生速率（kg/h）</w:t>
                  </w:r>
                </w:p>
              </w:tc>
              <w:tc>
                <w:tcPr>
                  <w:tcW w:w="523"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收集效率（%）</w:t>
                  </w:r>
                </w:p>
              </w:tc>
              <w:tc>
                <w:tcPr>
                  <w:tcW w:w="597"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活性炭吸附净化效率（%）</w:t>
                  </w:r>
                </w:p>
              </w:tc>
              <w:tc>
                <w:tcPr>
                  <w:tcW w:w="625"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风量（m³/h）</w:t>
                  </w:r>
                </w:p>
              </w:tc>
              <w:tc>
                <w:tcPr>
                  <w:tcW w:w="1784"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有组织排放参数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84"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685"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523"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597"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625"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8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排放速率（kg/h）</w:t>
                  </w:r>
                </w:p>
              </w:tc>
              <w:tc>
                <w:tcPr>
                  <w:tcW w:w="88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排放浓度（mg/m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pc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二甲苯</w:t>
                  </w:r>
                </w:p>
              </w:tc>
              <w:tc>
                <w:tcPr>
                  <w:tcW w:w="685" w:type="pc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2.733</w:t>
                  </w:r>
                </w:p>
              </w:tc>
              <w:tc>
                <w:tcPr>
                  <w:tcW w:w="523"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97</w:t>
                  </w:r>
                </w:p>
              </w:tc>
              <w:tc>
                <w:tcPr>
                  <w:tcW w:w="597"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85</w:t>
                  </w:r>
                </w:p>
              </w:tc>
              <w:tc>
                <w:tcPr>
                  <w:tcW w:w="625"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000*</w:t>
                  </w:r>
                </w:p>
              </w:tc>
              <w:tc>
                <w:tcPr>
                  <w:tcW w:w="895" w:type="pc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0.398</w:t>
                  </w:r>
                </w:p>
              </w:tc>
              <w:tc>
                <w:tcPr>
                  <w:tcW w:w="889" w:type="pct"/>
                  <w:tcBorders>
                    <w:top w:val="single" w:color="auto" w:sz="4" w:space="0"/>
                    <w:left w:val="single" w:color="auto" w:sz="4" w:space="0"/>
                    <w:right w:val="single" w:color="auto" w:sz="4" w:space="0"/>
                  </w:tcBorders>
                  <w:vAlign w:val="center"/>
                </w:tcPr>
                <w:p>
                  <w:pPr>
                    <w:jc w:val="center"/>
                    <w:rPr>
                      <w:rFonts w:hint="default"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pct"/>
                  <w:tcBorders>
                    <w:top w:val="single" w:color="auto" w:sz="4" w:space="0"/>
                    <w:left w:val="single" w:color="auto" w:sz="4" w:space="0"/>
                    <w:right w:val="single" w:color="auto" w:sz="4" w:space="0"/>
                  </w:tcBorders>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乙苯</w:t>
                  </w:r>
                </w:p>
              </w:tc>
              <w:tc>
                <w:tcPr>
                  <w:tcW w:w="685" w:type="pc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0.589</w:t>
                  </w:r>
                </w:p>
              </w:tc>
              <w:tc>
                <w:tcPr>
                  <w:tcW w:w="523" w:type="pct"/>
                  <w:vMerge w:val="continue"/>
                  <w:tcBorders>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p>
              </w:tc>
              <w:tc>
                <w:tcPr>
                  <w:tcW w:w="597" w:type="pct"/>
                  <w:vMerge w:val="continue"/>
                  <w:tcBorders>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p>
              </w:tc>
              <w:tc>
                <w:tcPr>
                  <w:tcW w:w="625" w:type="pct"/>
                  <w:vMerge w:val="continue"/>
                  <w:tcBorders>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p>
              </w:tc>
              <w:tc>
                <w:tcPr>
                  <w:tcW w:w="895" w:type="pc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0.086</w:t>
                  </w:r>
                </w:p>
              </w:tc>
              <w:tc>
                <w:tcPr>
                  <w:tcW w:w="889" w:type="pc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78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TRVOC、非甲烷总烃</w:t>
                  </w:r>
                </w:p>
              </w:tc>
              <w:tc>
                <w:tcPr>
                  <w:tcW w:w="68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5.23</w:t>
                  </w:r>
                </w:p>
              </w:tc>
              <w:tc>
                <w:tcPr>
                  <w:tcW w:w="523" w:type="pct"/>
                  <w:vMerge w:val="continue"/>
                  <w:tcBorders>
                    <w:left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597" w:type="pct"/>
                  <w:vMerge w:val="continue"/>
                  <w:tcBorders>
                    <w:left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625" w:type="pct"/>
                  <w:vMerge w:val="continue"/>
                  <w:tcBorders>
                    <w:left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89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w:t>
                  </w:r>
                  <w:r>
                    <w:rPr>
                      <w:rFonts w:hint="eastAsia" w:cs="Times New Roman"/>
                      <w:color w:val="auto"/>
                      <w:sz w:val="21"/>
                      <w:szCs w:val="21"/>
                      <w:highlight w:val="none"/>
                      <w:lang w:val="en-US" w:eastAsia="zh-CN" w:bidi="ar-SA"/>
                    </w:rPr>
                    <w:t>761</w:t>
                  </w:r>
                </w:p>
              </w:tc>
              <w:tc>
                <w:tcPr>
                  <w:tcW w:w="88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5000" w:type="pct"/>
                  <w:gridSpan w:val="7"/>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注*：为喷漆房配套水帘+干式过滤</w:t>
                  </w:r>
                  <w:r>
                    <w:rPr>
                      <w:rFonts w:hint="eastAsia" w:cs="Times New Roman"/>
                      <w:color w:val="auto"/>
                      <w:sz w:val="21"/>
                      <w:szCs w:val="21"/>
                      <w:highlight w:val="none"/>
                      <w:lang w:val="en-US" w:eastAsia="zh-CN"/>
                    </w:rPr>
                    <w:t>棉</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活性炭吸附、脱附催化燃烧</w:t>
                  </w:r>
                  <w:r>
                    <w:rPr>
                      <w:rFonts w:hint="default" w:ascii="Times New Roman" w:hAnsi="Times New Roman" w:cs="Times New Roman"/>
                      <w:color w:val="auto"/>
                      <w:sz w:val="21"/>
                      <w:szCs w:val="21"/>
                      <w:highlight w:val="none"/>
                    </w:rPr>
                    <w:t>吸附风机风量（</w:t>
                  </w: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000m</w:t>
                  </w:r>
                  <w:r>
                    <w:rPr>
                      <w:rFonts w:hint="default" w:ascii="Times New Roman" w:hAnsi="Times New Roman" w:cs="Times New Roman"/>
                      <w:color w:val="auto"/>
                      <w:sz w:val="21"/>
                      <w:szCs w:val="21"/>
                      <w:highlight w:val="none"/>
                      <w:vertAlign w:val="superscript"/>
                    </w:rPr>
                    <w:t xml:space="preserve"> 3</w:t>
                  </w:r>
                  <w:r>
                    <w:rPr>
                      <w:rFonts w:hint="default" w:ascii="Times New Roman" w:hAnsi="Times New Roman" w:cs="Times New Roman"/>
                      <w:color w:val="auto"/>
                      <w:sz w:val="21"/>
                      <w:szCs w:val="21"/>
                      <w:highlight w:val="none"/>
                    </w:rPr>
                    <w:t xml:space="preserve"> /h）。</w:t>
                  </w:r>
                </w:p>
              </w:tc>
            </w:tr>
          </w:tbl>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由上表数据可知，本项目</w:t>
            </w:r>
            <w:r>
              <w:rPr>
                <w:rFonts w:hint="eastAsia" w:cs="Times New Roman"/>
                <w:color w:val="auto"/>
                <w:highlight w:val="none"/>
                <w:lang w:val="en-US" w:eastAsia="zh-CN"/>
              </w:rPr>
              <w:t>伸缩式</w:t>
            </w:r>
            <w:r>
              <w:rPr>
                <w:rFonts w:hint="default" w:ascii="Times New Roman" w:hAnsi="Times New Roman" w:cs="Times New Roman"/>
                <w:color w:val="auto"/>
                <w:highlight w:val="none"/>
              </w:rPr>
              <w:t>喷漆房只吸附阶段二甲苯排放速率为0.</w:t>
            </w:r>
            <w:r>
              <w:rPr>
                <w:rFonts w:hint="eastAsia" w:cs="Times New Roman"/>
                <w:color w:val="auto"/>
                <w:highlight w:val="none"/>
                <w:lang w:val="en-US" w:eastAsia="zh-CN"/>
              </w:rPr>
              <w:t>398</w:t>
            </w:r>
            <w:r>
              <w:rPr>
                <w:rFonts w:hint="default" w:ascii="Times New Roman" w:hAnsi="Times New Roman" w:cs="Times New Roman"/>
                <w:color w:val="auto"/>
                <w:highlight w:val="none"/>
              </w:rPr>
              <w:t>kg/h，排放浓度为</w:t>
            </w:r>
            <w:r>
              <w:rPr>
                <w:rFonts w:hint="eastAsia" w:cs="Times New Roman"/>
                <w:color w:val="auto"/>
                <w:highlight w:val="none"/>
                <w:lang w:val="en-US" w:eastAsia="zh-CN"/>
              </w:rPr>
              <w:t>13.3</w:t>
            </w:r>
            <w:r>
              <w:rPr>
                <w:rFonts w:hint="default" w:ascii="Times New Roman" w:hAnsi="Times New Roman" w:cs="Times New Roman"/>
                <w:color w:val="auto"/>
                <w:highlight w:val="none"/>
              </w:rPr>
              <w:t>mg/m³；</w:t>
            </w:r>
            <w:r>
              <w:rPr>
                <w:rFonts w:hint="eastAsia" w:cs="Times New Roman"/>
                <w:color w:val="auto"/>
                <w:highlight w:val="none"/>
                <w:lang w:val="en-US" w:eastAsia="zh-CN"/>
              </w:rPr>
              <w:t>乙苯</w:t>
            </w:r>
            <w:r>
              <w:rPr>
                <w:rFonts w:hint="default" w:ascii="Times New Roman" w:hAnsi="Times New Roman" w:cs="Times New Roman"/>
                <w:color w:val="auto"/>
                <w:highlight w:val="none"/>
              </w:rPr>
              <w:t>排放速率为0.</w:t>
            </w:r>
            <w:r>
              <w:rPr>
                <w:rFonts w:hint="eastAsia" w:cs="Times New Roman"/>
                <w:color w:val="auto"/>
                <w:highlight w:val="none"/>
                <w:lang w:val="en-US" w:eastAsia="zh-CN"/>
              </w:rPr>
              <w:t>086</w:t>
            </w:r>
            <w:r>
              <w:rPr>
                <w:rFonts w:hint="default" w:ascii="Times New Roman" w:hAnsi="Times New Roman" w:cs="Times New Roman"/>
                <w:color w:val="auto"/>
                <w:highlight w:val="none"/>
              </w:rPr>
              <w:t>kg/h</w:t>
            </w:r>
            <w:r>
              <w:rPr>
                <w:rFonts w:hint="eastAsia" w:cs="Times New Roman"/>
                <w:color w:val="auto"/>
                <w:highlight w:val="none"/>
                <w:lang w:eastAsia="zh-CN"/>
              </w:rPr>
              <w:t>，</w:t>
            </w:r>
            <w:r>
              <w:rPr>
                <w:rFonts w:hint="default" w:ascii="Times New Roman" w:hAnsi="Times New Roman" w:cs="Times New Roman"/>
                <w:color w:val="auto"/>
                <w:highlight w:val="none"/>
              </w:rPr>
              <w:t>TRVOC、非甲烷总烃排放速率为0.</w:t>
            </w:r>
            <w:r>
              <w:rPr>
                <w:rFonts w:hint="eastAsia" w:cs="Times New Roman"/>
                <w:color w:val="auto"/>
                <w:highlight w:val="none"/>
                <w:lang w:val="en-US" w:eastAsia="zh-CN"/>
              </w:rPr>
              <w:t>761</w:t>
            </w:r>
            <w:r>
              <w:rPr>
                <w:rFonts w:hint="default" w:ascii="Times New Roman" w:hAnsi="Times New Roman" w:cs="Times New Roman"/>
                <w:color w:val="auto"/>
                <w:highlight w:val="none"/>
              </w:rPr>
              <w:t>kg/h，排放浓度为</w:t>
            </w:r>
            <w:r>
              <w:rPr>
                <w:rFonts w:hint="eastAsia" w:cs="Times New Roman"/>
                <w:color w:val="auto"/>
                <w:highlight w:val="none"/>
                <w:lang w:val="en-US" w:eastAsia="zh-CN"/>
              </w:rPr>
              <w:t>25.4</w:t>
            </w:r>
            <w:r>
              <w:rPr>
                <w:rFonts w:hint="default" w:ascii="Times New Roman" w:hAnsi="Times New Roman" w:cs="Times New Roman"/>
                <w:color w:val="auto"/>
                <w:highlight w:val="none"/>
              </w:rPr>
              <w:t>mg/m³。</w:t>
            </w:r>
          </w:p>
          <w:p>
            <w:pPr>
              <w:spacing w:line="360" w:lineRule="auto"/>
              <w:ind w:firstLine="480" w:firstLineChars="200"/>
              <w:rPr>
                <w:rFonts w:hint="default" w:ascii="Times New Roman" w:hAnsi="Times New Roman" w:cs="Times New Roman"/>
                <w:b/>
                <w:bCs/>
                <w:color w:val="auto"/>
                <w:sz w:val="21"/>
                <w:szCs w:val="21"/>
                <w:highlight w:val="none"/>
              </w:rPr>
            </w:pPr>
            <w:r>
              <w:rPr>
                <w:rFonts w:hint="eastAsia" w:ascii="Times New Roman" w:hAnsi="Times New Roman" w:cs="Times New Roman"/>
                <w:color w:val="auto"/>
                <w:highlight w:val="none"/>
                <w:lang w:val="en-US" w:eastAsia="zh-CN"/>
              </w:rPr>
              <w:t>本项目</w:t>
            </w:r>
            <w:r>
              <w:rPr>
                <w:rFonts w:hint="eastAsia" w:cs="Times New Roman"/>
                <w:color w:val="auto"/>
                <w:highlight w:val="none"/>
                <w:lang w:val="en-US" w:eastAsia="zh-CN"/>
              </w:rPr>
              <w:t>最大</w:t>
            </w:r>
            <w:r>
              <w:rPr>
                <w:rFonts w:hint="eastAsia" w:ascii="Times New Roman" w:hAnsi="Times New Roman" w:cs="Times New Roman"/>
                <w:color w:val="auto"/>
                <w:highlight w:val="none"/>
                <w:lang w:val="en-US" w:eastAsia="zh-CN"/>
              </w:rPr>
              <w:t>工况</w:t>
            </w:r>
            <w:r>
              <w:rPr>
                <w:rFonts w:hint="eastAsia" w:cs="Times New Roman"/>
                <w:color w:val="auto"/>
                <w:highlight w:val="none"/>
                <w:lang w:val="en-US" w:eastAsia="zh-CN"/>
              </w:rPr>
              <w:t>为伸缩式喷漆房喷油性漆底漆时，并且催化燃烧装置处于</w:t>
            </w:r>
            <w:r>
              <w:rPr>
                <w:rFonts w:hint="eastAsia" w:cs="Times New Roman"/>
                <w:color w:val="auto"/>
                <w:highlight w:val="none"/>
                <w:lang w:val="en-US" w:eastAsia="zh-CN"/>
              </w:rPr>
              <w:t>吸附和脱附</w:t>
            </w:r>
            <w:r>
              <w:rPr>
                <w:rFonts w:hint="eastAsia" w:cs="Times New Roman"/>
                <w:color w:val="auto"/>
                <w:highlight w:val="none"/>
                <w:lang w:val="en-US" w:eastAsia="zh-CN"/>
              </w:rPr>
              <w:t>同时进行阶段，本项目催化燃烧装置工作方式为在线脱附。</w:t>
            </w:r>
          </w:p>
          <w:p>
            <w:pPr>
              <w:spacing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rPr>
              <w:t>本项目最大排放</w:t>
            </w:r>
            <w:r>
              <w:rPr>
                <w:rFonts w:hint="eastAsia" w:cs="Times New Roman"/>
                <w:b/>
                <w:bCs/>
                <w:color w:val="auto"/>
                <w:sz w:val="21"/>
                <w:szCs w:val="21"/>
                <w:highlight w:val="none"/>
                <w:lang w:val="en-US" w:eastAsia="zh-CN"/>
              </w:rPr>
              <w:t>工况</w:t>
            </w:r>
            <w:r>
              <w:rPr>
                <w:rFonts w:hint="default" w:ascii="Times New Roman" w:hAnsi="Times New Roman" w:cs="Times New Roman"/>
                <w:b/>
                <w:bCs/>
                <w:color w:val="auto"/>
                <w:sz w:val="21"/>
                <w:szCs w:val="21"/>
                <w:highlight w:val="none"/>
              </w:rPr>
              <w:t>有机废气排放情况</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1132"/>
              <w:gridCol w:w="943"/>
              <w:gridCol w:w="1197"/>
              <w:gridCol w:w="1023"/>
              <w:gridCol w:w="1086"/>
              <w:gridCol w:w="1132"/>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714"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623" w:type="pct"/>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产生速率（kg/h）</w:t>
                  </w:r>
                </w:p>
              </w:tc>
              <w:tc>
                <w:tcPr>
                  <w:tcW w:w="519" w:type="pct"/>
                  <w:vMerge w:val="restar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收集效率（%）</w:t>
                  </w:r>
                </w:p>
              </w:tc>
              <w:tc>
                <w:tcPr>
                  <w:tcW w:w="659"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活性炭吸附</w:t>
                  </w:r>
                  <w:r>
                    <w:rPr>
                      <w:rFonts w:hint="default" w:ascii="Times New Roman" w:hAnsi="Times New Roman" w:cs="Times New Roman"/>
                      <w:color w:val="auto"/>
                      <w:sz w:val="21"/>
                      <w:szCs w:val="21"/>
                      <w:highlight w:val="none"/>
                    </w:rPr>
                    <w:t>效率（%）</w:t>
                  </w:r>
                </w:p>
              </w:tc>
              <w:tc>
                <w:tcPr>
                  <w:tcW w:w="563" w:type="pct"/>
                  <w:vMerge w:val="restart"/>
                  <w:tcBorders>
                    <w:top w:val="single" w:color="auto" w:sz="4" w:space="0"/>
                    <w:left w:val="single" w:color="auto" w:sz="4" w:space="0"/>
                    <w:right w:val="single" w:color="auto" w:sz="4" w:space="0"/>
                  </w:tcBorders>
                  <w:vAlign w:val="center"/>
                </w:tcPr>
                <w:p>
                  <w:pPr>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催化燃烧效率</w:t>
                  </w:r>
                </w:p>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w:t>
                  </w:r>
                </w:p>
              </w:tc>
              <w:tc>
                <w:tcPr>
                  <w:tcW w:w="598"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风量（m³/h）</w:t>
                  </w:r>
                </w:p>
              </w:tc>
              <w:tc>
                <w:tcPr>
                  <w:tcW w:w="1320"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有组织排放参数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71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p>
              </w:tc>
              <w:tc>
                <w:tcPr>
                  <w:tcW w:w="623"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519"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659"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563" w:type="pct"/>
                  <w:vMerge w:val="continue"/>
                  <w:tcBorders>
                    <w:left w:val="single" w:color="auto" w:sz="4" w:space="0"/>
                    <w:bottom w:val="single" w:color="auto" w:sz="4" w:space="0"/>
                    <w:right w:val="single" w:color="auto" w:sz="4" w:space="0"/>
                  </w:tcBorders>
                  <w:vAlign w:val="center"/>
                </w:tcPr>
                <w:p>
                  <w:pPr>
                    <w:rPr>
                      <w:rFonts w:hint="default" w:ascii="Times New Roman" w:hAnsi="Times New Roman" w:eastAsia="宋体" w:cs="Times New Roman"/>
                      <w:color w:val="auto"/>
                      <w:sz w:val="21"/>
                      <w:szCs w:val="21"/>
                      <w:highlight w:val="none"/>
                      <w:lang w:val="en-US" w:eastAsia="zh-CN"/>
                    </w:rPr>
                  </w:pPr>
                </w:p>
              </w:tc>
              <w:tc>
                <w:tcPr>
                  <w:tcW w:w="598"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排放速率（kg/h）</w:t>
                  </w:r>
                </w:p>
              </w:tc>
              <w:tc>
                <w:tcPr>
                  <w:tcW w:w="697" w:type="pct"/>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排放浓度（mg/m</w:t>
                  </w:r>
                  <w:r>
                    <w:rPr>
                      <w:rFonts w:ascii="Times New Roman" w:hAnsi="Times New Roman" w:cs="Times New Roman"/>
                      <w:color w:val="auto"/>
                      <w:sz w:val="21"/>
                      <w:szCs w:val="21"/>
                      <w:highlight w:val="none"/>
                      <w:vertAlign w:val="superscript"/>
                    </w:rPr>
                    <w:t>3</w:t>
                  </w:r>
                  <w:r>
                    <w:rPr>
                      <w:rFonts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14" w:type="pc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二甲苯</w:t>
                  </w:r>
                </w:p>
              </w:tc>
              <w:tc>
                <w:tcPr>
                  <w:tcW w:w="623" w:type="pc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2.733</w:t>
                  </w:r>
                </w:p>
              </w:tc>
              <w:tc>
                <w:tcPr>
                  <w:tcW w:w="519"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97</w:t>
                  </w:r>
                </w:p>
              </w:tc>
              <w:tc>
                <w:tcPr>
                  <w:tcW w:w="659"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63" w:type="pct"/>
                  <w:vMerge w:val="restart"/>
                  <w:tcBorders>
                    <w:top w:val="single" w:color="auto" w:sz="4" w:space="0"/>
                    <w:left w:val="single" w:color="auto" w:sz="4" w:space="0"/>
                    <w:right w:val="single" w:color="auto" w:sz="4" w:space="0"/>
                  </w:tcBorders>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97</w:t>
                  </w:r>
                </w:p>
              </w:tc>
              <w:tc>
                <w:tcPr>
                  <w:tcW w:w="598"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32</w:t>
                  </w:r>
                  <w:r>
                    <w:rPr>
                      <w:rFonts w:hint="default" w:ascii="Times New Roman" w:hAnsi="Times New Roman" w:cs="Times New Roman"/>
                      <w:color w:val="auto"/>
                      <w:sz w:val="21"/>
                      <w:szCs w:val="21"/>
                      <w:highlight w:val="none"/>
                    </w:rPr>
                    <w:t>000*</w:t>
                  </w:r>
                </w:p>
              </w:tc>
              <w:tc>
                <w:tcPr>
                  <w:tcW w:w="623" w:type="pc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0.485</w:t>
                  </w:r>
                </w:p>
              </w:tc>
              <w:tc>
                <w:tcPr>
                  <w:tcW w:w="697" w:type="pct"/>
                  <w:tcBorders>
                    <w:top w:val="single" w:color="auto" w:sz="4" w:space="0"/>
                    <w:left w:val="single" w:color="auto" w:sz="4" w:space="0"/>
                    <w:right w:val="single" w:color="auto" w:sz="4" w:space="0"/>
                  </w:tcBorders>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乙苯</w:t>
                  </w:r>
                </w:p>
              </w:tc>
              <w:tc>
                <w:tcPr>
                  <w:tcW w:w="62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0.589</w:t>
                  </w:r>
                </w:p>
              </w:tc>
              <w:tc>
                <w:tcPr>
                  <w:tcW w:w="519" w:type="pct"/>
                  <w:vMerge w:val="continue"/>
                  <w:tcBorders>
                    <w:left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659" w:type="pct"/>
                  <w:vMerge w:val="continue"/>
                  <w:tcBorders>
                    <w:left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563" w:type="pct"/>
                  <w:vMerge w:val="continue"/>
                  <w:tcBorders>
                    <w:left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598" w:type="pct"/>
                  <w:vMerge w:val="continue"/>
                  <w:tcBorders>
                    <w:left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0.104</w:t>
                  </w:r>
                </w:p>
              </w:tc>
              <w:tc>
                <w:tcPr>
                  <w:tcW w:w="69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1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TRVOC、非甲烷总烃</w:t>
                  </w:r>
                </w:p>
              </w:tc>
              <w:tc>
                <w:tcPr>
                  <w:tcW w:w="62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5.23</w:t>
                  </w:r>
                </w:p>
              </w:tc>
              <w:tc>
                <w:tcPr>
                  <w:tcW w:w="519" w:type="pct"/>
                  <w:vMerge w:val="continue"/>
                  <w:tcBorders>
                    <w:left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659" w:type="pct"/>
                  <w:vMerge w:val="continue"/>
                  <w:tcBorders>
                    <w:left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563" w:type="pct"/>
                  <w:vMerge w:val="continue"/>
                  <w:tcBorders>
                    <w:left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598" w:type="pct"/>
                  <w:vMerge w:val="continue"/>
                  <w:tcBorders>
                    <w:left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0.923</w:t>
                  </w:r>
                </w:p>
              </w:tc>
              <w:tc>
                <w:tcPr>
                  <w:tcW w:w="69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5000" w:type="pct"/>
                  <w:gridSpan w:val="8"/>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注*：为喷漆房</w:t>
                  </w:r>
                  <w:r>
                    <w:rPr>
                      <w:rFonts w:hint="eastAsia" w:cs="Times New Roman"/>
                      <w:color w:val="auto"/>
                      <w:sz w:val="21"/>
                      <w:szCs w:val="21"/>
                      <w:highlight w:val="none"/>
                      <w:lang w:eastAsia="zh-CN"/>
                    </w:rPr>
                    <w:t>“</w:t>
                  </w:r>
                  <w:r>
                    <w:rPr>
                      <w:rFonts w:hint="default" w:ascii="Times New Roman" w:hAnsi="Times New Roman" w:cs="Times New Roman" w:eastAsiaTheme="majorEastAsia"/>
                      <w:color w:val="auto"/>
                      <w:sz w:val="21"/>
                      <w:szCs w:val="21"/>
                      <w:highlight w:val="none"/>
                    </w:rPr>
                    <w:t>水帘+干式过滤</w:t>
                  </w:r>
                  <w:r>
                    <w:rPr>
                      <w:rFonts w:hint="eastAsia" w:cs="Times New Roman" w:eastAsiaTheme="majorEastAsia"/>
                      <w:color w:val="auto"/>
                      <w:sz w:val="21"/>
                      <w:szCs w:val="21"/>
                      <w:highlight w:val="none"/>
                      <w:lang w:val="en-US" w:eastAsia="zh-CN"/>
                    </w:rPr>
                    <w:t>棉</w:t>
                  </w:r>
                  <w:r>
                    <w:rPr>
                      <w:rFonts w:hint="default" w:ascii="Times New Roman" w:hAnsi="Times New Roman" w:cs="Times New Roman" w:eastAsiaTheme="majorEastAsia"/>
                      <w:color w:val="auto"/>
                      <w:sz w:val="21"/>
                      <w:szCs w:val="21"/>
                      <w:highlight w:val="none"/>
                    </w:rPr>
                    <w:t>+</w:t>
                  </w:r>
                  <w:r>
                    <w:rPr>
                      <w:rFonts w:hint="eastAsia" w:cs="Times New Roman" w:eastAsiaTheme="majorEastAsia"/>
                      <w:color w:val="auto"/>
                      <w:sz w:val="21"/>
                      <w:szCs w:val="21"/>
                      <w:highlight w:val="none"/>
                      <w:lang w:eastAsia="zh-CN"/>
                    </w:rPr>
                    <w:t>活性炭吸附、脱附催化燃烧”</w:t>
                  </w:r>
                  <w:r>
                    <w:rPr>
                      <w:rFonts w:hint="default" w:ascii="Times New Roman" w:hAnsi="Times New Roman" w:cs="Times New Roman" w:eastAsiaTheme="majorEastAsia"/>
                      <w:color w:val="auto"/>
                      <w:sz w:val="21"/>
                      <w:szCs w:val="21"/>
                      <w:highlight w:val="none"/>
                    </w:rPr>
                    <w:t>吸</w:t>
                  </w:r>
                  <w:r>
                    <w:rPr>
                      <w:rFonts w:hint="default" w:ascii="Times New Roman" w:hAnsi="Times New Roman" w:cs="Times New Roman"/>
                      <w:color w:val="auto"/>
                      <w:sz w:val="21"/>
                      <w:szCs w:val="21"/>
                      <w:highlight w:val="none"/>
                    </w:rPr>
                    <w:t>附风机风量（</w:t>
                  </w: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000m³ /h）、脱附风机风量（2000m³ /h）叠加风量；</w:t>
                  </w:r>
                </w:p>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二甲苯排放速率（吸附、脱附同时进行）=</w:t>
                  </w:r>
                  <w:r>
                    <w:rPr>
                      <w:rFonts w:hint="eastAsia" w:cs="Times New Roman"/>
                      <w:color w:val="auto"/>
                      <w:sz w:val="21"/>
                      <w:szCs w:val="21"/>
                      <w:highlight w:val="none"/>
                      <w:lang w:val="en-US" w:eastAsia="zh-CN"/>
                    </w:rPr>
                    <w:t>2.733</w:t>
                  </w:r>
                  <w:r>
                    <w:rPr>
                      <w:rFonts w:hint="default" w:ascii="Times New Roman" w:hAnsi="Times New Roman" w:cs="Times New Roman"/>
                      <w:color w:val="auto"/>
                      <w:sz w:val="21"/>
                      <w:szCs w:val="21"/>
                      <w:highlight w:val="none"/>
                    </w:rPr>
                    <w:t>kg/h×</w:t>
                  </w:r>
                  <w:r>
                    <w:rPr>
                      <w:rFonts w:hint="eastAsia" w:cs="Times New Roman"/>
                      <w:color w:val="auto"/>
                      <w:sz w:val="21"/>
                      <w:szCs w:val="21"/>
                      <w:highlight w:val="none"/>
                      <w:lang w:val="en-US" w:eastAsia="zh-CN"/>
                    </w:rPr>
                    <w:t>0.97×</w:t>
                  </w:r>
                  <w:r>
                    <w:rPr>
                      <w:rFonts w:hint="default" w:ascii="Times New Roman" w:hAnsi="Times New Roman" w:cs="Times New Roman"/>
                      <w:color w:val="auto"/>
                      <w:sz w:val="21"/>
                      <w:szCs w:val="21"/>
                      <w:highlight w:val="none"/>
                    </w:rPr>
                    <w:t>0.15+</w:t>
                  </w:r>
                  <w:r>
                    <w:rPr>
                      <w:rFonts w:hint="eastAsia" w:cs="Times New Roman"/>
                      <w:color w:val="auto"/>
                      <w:sz w:val="21"/>
                      <w:szCs w:val="21"/>
                      <w:highlight w:val="none"/>
                      <w:lang w:val="en-US" w:eastAsia="zh-CN"/>
                    </w:rPr>
                    <w:t>0.82t×0.97</w:t>
                  </w:r>
                  <w:r>
                    <w:rPr>
                      <w:rFonts w:hint="default" w:ascii="Times New Roman" w:hAnsi="Times New Roman" w:cs="Times New Roman"/>
                      <w:color w:val="auto"/>
                      <w:sz w:val="21"/>
                      <w:szCs w:val="21"/>
                      <w:highlight w:val="none"/>
                    </w:rPr>
                    <w:t>×0.85×0.03×1000</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÷8÷</w:t>
                  </w:r>
                  <w:r>
                    <w:rPr>
                      <w:rFonts w:hint="eastAsia" w:cs="Times New Roman"/>
                      <w:color w:val="auto"/>
                      <w:sz w:val="21"/>
                      <w:szCs w:val="21"/>
                      <w:highlight w:val="none"/>
                      <w:lang w:val="en-US" w:eastAsia="zh-CN"/>
                    </w:rPr>
                    <w:t>60</w:t>
                  </w: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485</w:t>
                  </w:r>
                  <w:r>
                    <w:rPr>
                      <w:rFonts w:hint="default" w:ascii="Times New Roman" w:hAnsi="Times New Roman" w:cs="Times New Roman"/>
                      <w:color w:val="auto"/>
                      <w:sz w:val="21"/>
                      <w:szCs w:val="21"/>
                      <w:highlight w:val="none"/>
                    </w:rPr>
                    <w:t>kg/h；（</w:t>
                  </w:r>
                  <w:r>
                    <w:rPr>
                      <w:rFonts w:hint="eastAsia" w:cs="Times New Roman"/>
                      <w:color w:val="auto"/>
                      <w:sz w:val="21"/>
                      <w:szCs w:val="21"/>
                      <w:highlight w:val="none"/>
                      <w:lang w:val="en-US" w:eastAsia="zh-CN"/>
                    </w:rPr>
                    <w:t>0.82</w:t>
                  </w:r>
                  <w:r>
                    <w:rPr>
                      <w:rFonts w:hint="default" w:ascii="Times New Roman" w:hAnsi="Times New Roman" w:cs="Times New Roman"/>
                      <w:color w:val="auto"/>
                      <w:sz w:val="21"/>
                      <w:szCs w:val="21"/>
                      <w:highlight w:val="none"/>
                    </w:rPr>
                    <w:t>t为本项目</w:t>
                  </w:r>
                  <w:r>
                    <w:rPr>
                      <w:rFonts w:hint="eastAsia" w:cs="Times New Roman"/>
                      <w:color w:val="auto"/>
                      <w:sz w:val="21"/>
                      <w:szCs w:val="21"/>
                      <w:highlight w:val="none"/>
                      <w:lang w:val="en-US" w:eastAsia="zh-CN"/>
                    </w:rPr>
                    <w:t>油性漆底漆</w:t>
                  </w:r>
                  <w:r>
                    <w:rPr>
                      <w:rFonts w:hint="default" w:ascii="Times New Roman" w:hAnsi="Times New Roman" w:cs="Times New Roman"/>
                      <w:color w:val="auto"/>
                      <w:sz w:val="21"/>
                      <w:szCs w:val="21"/>
                      <w:highlight w:val="none"/>
                    </w:rPr>
                    <w:t>有组织二甲苯产生量，设计每</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天脱附1次，1 次脱附8小时）</w:t>
                  </w:r>
                </w:p>
                <w:p>
                  <w:pPr>
                    <w:ind w:left="210" w:hanging="210" w:hangingChars="10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乙</w:t>
                  </w:r>
                  <w:r>
                    <w:rPr>
                      <w:rFonts w:hint="default" w:ascii="Times New Roman" w:hAnsi="Times New Roman" w:cs="Times New Roman"/>
                      <w:color w:val="auto"/>
                      <w:sz w:val="21"/>
                      <w:szCs w:val="21"/>
                      <w:highlight w:val="none"/>
                    </w:rPr>
                    <w:t>苯排放速率（吸附、脱附同时进行）=0.</w:t>
                  </w:r>
                  <w:r>
                    <w:rPr>
                      <w:rFonts w:hint="eastAsia" w:cs="Times New Roman"/>
                      <w:color w:val="auto"/>
                      <w:sz w:val="21"/>
                      <w:szCs w:val="21"/>
                      <w:highlight w:val="none"/>
                      <w:lang w:val="en-US" w:eastAsia="zh-CN"/>
                    </w:rPr>
                    <w:t>589</w:t>
                  </w:r>
                  <w:r>
                    <w:rPr>
                      <w:rFonts w:hint="default" w:ascii="Times New Roman" w:hAnsi="Times New Roman" w:cs="Times New Roman"/>
                      <w:color w:val="auto"/>
                      <w:sz w:val="21"/>
                      <w:szCs w:val="21"/>
                      <w:highlight w:val="none"/>
                    </w:rPr>
                    <w:t>kg/h×</w:t>
                  </w:r>
                  <w:r>
                    <w:rPr>
                      <w:rFonts w:hint="eastAsia" w:cs="Times New Roman"/>
                      <w:color w:val="auto"/>
                      <w:sz w:val="21"/>
                      <w:szCs w:val="21"/>
                      <w:highlight w:val="none"/>
                      <w:lang w:val="en-US" w:eastAsia="zh-CN"/>
                    </w:rPr>
                    <w:t>0.97</w:t>
                  </w:r>
                  <w:r>
                    <w:rPr>
                      <w:rFonts w:hint="default" w:ascii="Times New Roman" w:hAnsi="Times New Roman" w:cs="Times New Roman"/>
                      <w:color w:val="auto"/>
                      <w:sz w:val="21"/>
                      <w:szCs w:val="21"/>
                      <w:highlight w:val="none"/>
                    </w:rPr>
                    <w:t>×0.15+0.</w:t>
                  </w:r>
                  <w:r>
                    <w:rPr>
                      <w:rFonts w:hint="eastAsia" w:cs="Times New Roman"/>
                      <w:color w:val="auto"/>
                      <w:sz w:val="21"/>
                      <w:szCs w:val="21"/>
                      <w:highlight w:val="none"/>
                      <w:lang w:val="en-US" w:eastAsia="zh-CN"/>
                    </w:rPr>
                    <w:t>1768</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0.97×</w:t>
                  </w:r>
                  <w:r>
                    <w:rPr>
                      <w:rFonts w:hint="default" w:ascii="Times New Roman" w:hAnsi="Times New Roman" w:cs="Times New Roman"/>
                      <w:color w:val="auto"/>
                      <w:sz w:val="21"/>
                      <w:szCs w:val="21"/>
                      <w:highlight w:val="none"/>
                    </w:rPr>
                    <w:t>0.85×0.03×1000</w:t>
                  </w:r>
                </w:p>
                <w:p>
                  <w:pPr>
                    <w:rPr>
                      <w:rFonts w:hint="default"/>
                      <w:color w:val="auto"/>
                      <w:highlight w:val="none"/>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÷8÷</w:t>
                  </w:r>
                  <w:r>
                    <w:rPr>
                      <w:rFonts w:hint="eastAsia" w:ascii="Times New Roman" w:hAnsi="Times New Roman" w:cs="Times New Roman"/>
                      <w:color w:val="auto"/>
                      <w:sz w:val="21"/>
                      <w:szCs w:val="21"/>
                      <w:highlight w:val="none"/>
                      <w:lang w:val="en-US" w:eastAsia="zh-CN"/>
                    </w:rPr>
                    <w:t>60</w:t>
                  </w: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10</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kg/h；（</w:t>
                  </w: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1768</w:t>
                  </w:r>
                  <w:r>
                    <w:rPr>
                      <w:rFonts w:hint="default" w:ascii="Times New Roman" w:hAnsi="Times New Roman" w:cs="Times New Roman"/>
                      <w:color w:val="auto"/>
                      <w:sz w:val="21"/>
                      <w:szCs w:val="21"/>
                      <w:highlight w:val="none"/>
                    </w:rPr>
                    <w:t>t为本项目</w:t>
                  </w:r>
                  <w:r>
                    <w:rPr>
                      <w:rFonts w:hint="eastAsia" w:cs="Times New Roman"/>
                      <w:color w:val="auto"/>
                      <w:sz w:val="21"/>
                      <w:szCs w:val="21"/>
                      <w:highlight w:val="none"/>
                      <w:lang w:val="en-US" w:eastAsia="zh-CN"/>
                    </w:rPr>
                    <w:t>油性漆底漆</w:t>
                  </w:r>
                  <w:r>
                    <w:rPr>
                      <w:rFonts w:hint="default" w:ascii="Times New Roman" w:hAnsi="Times New Roman" w:cs="Times New Roman"/>
                      <w:color w:val="auto"/>
                      <w:sz w:val="21"/>
                      <w:szCs w:val="21"/>
                      <w:highlight w:val="none"/>
                    </w:rPr>
                    <w:t>有组织二甲苯产生量，设计每</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天脱附1次，1次脱附8小时）</w:t>
                  </w:r>
                </w:p>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TRVOC、非甲烷总烃排放速率（吸附、脱附同时进行）=</w:t>
                  </w:r>
                  <w:r>
                    <w:rPr>
                      <w:rFonts w:hint="eastAsia" w:cs="Times New Roman"/>
                      <w:color w:val="auto"/>
                      <w:sz w:val="21"/>
                      <w:szCs w:val="21"/>
                      <w:highlight w:val="none"/>
                      <w:lang w:val="en-US" w:eastAsia="zh-CN"/>
                    </w:rPr>
                    <w:t>5.23</w:t>
                  </w:r>
                  <w:r>
                    <w:rPr>
                      <w:rFonts w:hint="default" w:ascii="Times New Roman" w:hAnsi="Times New Roman" w:cs="Times New Roman"/>
                      <w:color w:val="auto"/>
                      <w:sz w:val="21"/>
                      <w:szCs w:val="21"/>
                      <w:highlight w:val="none"/>
                    </w:rPr>
                    <w:t>kg/h×</w:t>
                  </w:r>
                  <w:r>
                    <w:rPr>
                      <w:rFonts w:hint="eastAsia" w:cs="Times New Roman"/>
                      <w:color w:val="auto"/>
                      <w:sz w:val="21"/>
                      <w:szCs w:val="21"/>
                      <w:highlight w:val="none"/>
                      <w:lang w:val="en-US" w:eastAsia="zh-CN"/>
                    </w:rPr>
                    <w:t>0.97</w:t>
                  </w:r>
                  <w:r>
                    <w:rPr>
                      <w:rFonts w:hint="default" w:ascii="Times New Roman" w:hAnsi="Times New Roman" w:cs="Times New Roman"/>
                      <w:color w:val="auto"/>
                      <w:sz w:val="21"/>
                      <w:szCs w:val="21"/>
                      <w:highlight w:val="none"/>
                    </w:rPr>
                    <w:t>×0.15+</w:t>
                  </w:r>
                  <w:r>
                    <w:rPr>
                      <w:rFonts w:hint="eastAsia" w:cs="Times New Roman"/>
                      <w:color w:val="auto"/>
                      <w:sz w:val="21"/>
                      <w:szCs w:val="21"/>
                      <w:highlight w:val="none"/>
                      <w:lang w:val="en-US" w:eastAsia="zh-CN"/>
                    </w:rPr>
                    <w:t>2.869</w:t>
                  </w:r>
                  <w:r>
                    <w:rPr>
                      <w:rFonts w:hint="default" w:ascii="Times New Roman" w:hAnsi="Times New Roman" w:cs="Times New Roman"/>
                      <w:color w:val="auto"/>
                      <w:sz w:val="21"/>
                      <w:szCs w:val="21"/>
                      <w:highlight w:val="none"/>
                    </w:rPr>
                    <w:t>×0.85×</w:t>
                  </w:r>
                  <w:r>
                    <w:rPr>
                      <w:rFonts w:hint="eastAsia" w:cs="Times New Roman"/>
                      <w:color w:val="auto"/>
                      <w:sz w:val="21"/>
                      <w:szCs w:val="21"/>
                      <w:highlight w:val="none"/>
                      <w:lang w:val="en-US" w:eastAsia="zh-CN"/>
                    </w:rPr>
                    <w:t>0.97</w:t>
                  </w:r>
                  <w:r>
                    <w:rPr>
                      <w:rFonts w:hint="default" w:ascii="Times New Roman" w:hAnsi="Times New Roman" w:cs="Times New Roman"/>
                      <w:color w:val="auto"/>
                      <w:sz w:val="21"/>
                      <w:szCs w:val="21"/>
                      <w:highlight w:val="none"/>
                    </w:rPr>
                    <w:t>×0.03×1000</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÷8÷</w:t>
                  </w:r>
                  <w:r>
                    <w:rPr>
                      <w:rFonts w:hint="eastAsia" w:cs="Times New Roman"/>
                      <w:color w:val="auto"/>
                      <w:sz w:val="21"/>
                      <w:szCs w:val="21"/>
                      <w:highlight w:val="none"/>
                      <w:lang w:val="en-US" w:eastAsia="zh-CN"/>
                    </w:rPr>
                    <w:t>60</w:t>
                  </w: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923</w:t>
                  </w:r>
                  <w:r>
                    <w:rPr>
                      <w:rFonts w:hint="default" w:ascii="Times New Roman" w:hAnsi="Times New Roman" w:cs="Times New Roman"/>
                      <w:color w:val="auto"/>
                      <w:sz w:val="21"/>
                      <w:szCs w:val="21"/>
                      <w:highlight w:val="none"/>
                    </w:rPr>
                    <w:t>kg/h；（</w:t>
                  </w:r>
                  <w:r>
                    <w:rPr>
                      <w:rFonts w:hint="eastAsia" w:cs="Times New Roman" w:eastAsiaTheme="minorEastAsia"/>
                      <w:bCs/>
                      <w:color w:val="auto"/>
                      <w:sz w:val="21"/>
                      <w:szCs w:val="21"/>
                      <w:highlight w:val="none"/>
                      <w:lang w:val="en-US" w:eastAsia="zh-CN" w:bidi="ar-SA"/>
                    </w:rPr>
                    <w:t>1.5</w:t>
                  </w:r>
                  <w:r>
                    <w:rPr>
                      <w:rFonts w:hint="eastAsia" w:ascii="Times New Roman" w:hAnsi="Times New Roman" w:cs="Times New Roman" w:eastAsiaTheme="minorEastAsia"/>
                      <w:bCs/>
                      <w:color w:val="auto"/>
                      <w:sz w:val="21"/>
                      <w:szCs w:val="21"/>
                      <w:highlight w:val="none"/>
                      <w:lang w:val="en-US" w:eastAsia="zh-CN" w:bidi="ar-SA"/>
                    </w:rPr>
                    <w:t>69</w:t>
                  </w:r>
                  <w:r>
                    <w:rPr>
                      <w:rFonts w:hint="default" w:ascii="Times New Roman" w:hAnsi="Times New Roman" w:cs="Times New Roman"/>
                      <w:color w:val="auto"/>
                      <w:sz w:val="21"/>
                      <w:szCs w:val="21"/>
                      <w:highlight w:val="none"/>
                    </w:rPr>
                    <w:t>t为本项目</w:t>
                  </w:r>
                  <w:r>
                    <w:rPr>
                      <w:rFonts w:hint="eastAsia" w:cs="Times New Roman"/>
                      <w:color w:val="auto"/>
                      <w:sz w:val="21"/>
                      <w:szCs w:val="21"/>
                      <w:highlight w:val="none"/>
                      <w:lang w:val="en-US" w:eastAsia="zh-CN"/>
                    </w:rPr>
                    <w:t>油性漆底漆</w:t>
                  </w:r>
                  <w:r>
                    <w:rPr>
                      <w:rFonts w:hint="default" w:ascii="Times New Roman" w:hAnsi="Times New Roman" w:cs="Times New Roman"/>
                      <w:color w:val="auto"/>
                      <w:sz w:val="21"/>
                      <w:szCs w:val="21"/>
                      <w:highlight w:val="none"/>
                    </w:rPr>
                    <w:t>有组织TRVOC、非甲烷总烃产生量，设计每</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天脱附1次，1 次脱附8小时）</w:t>
                  </w:r>
                </w:p>
              </w:tc>
            </w:tr>
          </w:tbl>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由上表数据可知，本项目</w:t>
            </w:r>
            <w:r>
              <w:rPr>
                <w:rFonts w:hint="eastAsia" w:cs="Times New Roman"/>
                <w:color w:val="auto"/>
                <w:highlight w:val="none"/>
                <w:lang w:val="en-US" w:eastAsia="zh-CN"/>
              </w:rPr>
              <w:t>伸缩式</w:t>
            </w:r>
            <w:r>
              <w:rPr>
                <w:rFonts w:hint="default" w:ascii="Times New Roman" w:hAnsi="Times New Roman" w:cs="Times New Roman"/>
                <w:color w:val="auto"/>
                <w:highlight w:val="none"/>
              </w:rPr>
              <w:t>喷漆房最大排放情况（吸附、脱附同时进行阶段）二甲苯排放速率为0</w:t>
            </w:r>
            <w:r>
              <w:rPr>
                <w:rFonts w:hint="eastAsia" w:cs="Times New Roman"/>
                <w:color w:val="auto"/>
                <w:highlight w:val="none"/>
                <w:lang w:val="en-US" w:eastAsia="zh-CN"/>
              </w:rPr>
              <w:t>.485</w:t>
            </w:r>
            <w:r>
              <w:rPr>
                <w:rFonts w:hint="default" w:ascii="Times New Roman" w:hAnsi="Times New Roman" w:cs="Times New Roman"/>
                <w:color w:val="auto"/>
                <w:highlight w:val="none"/>
              </w:rPr>
              <w:t>kg/h，排放浓度为</w:t>
            </w:r>
            <w:r>
              <w:rPr>
                <w:rFonts w:hint="eastAsia" w:cs="Times New Roman"/>
                <w:color w:val="auto"/>
                <w:highlight w:val="none"/>
                <w:lang w:val="en-US" w:eastAsia="zh-CN"/>
              </w:rPr>
              <w:t>15.2</w:t>
            </w:r>
            <w:r>
              <w:rPr>
                <w:rFonts w:hint="default" w:ascii="Times New Roman" w:hAnsi="Times New Roman" w:cs="Times New Roman"/>
                <w:color w:val="auto"/>
                <w:highlight w:val="none"/>
              </w:rPr>
              <w:t>mg/m³；乙</w:t>
            </w:r>
            <w:r>
              <w:rPr>
                <w:rFonts w:hint="eastAsia" w:cs="Times New Roman"/>
                <w:color w:val="auto"/>
                <w:highlight w:val="none"/>
                <w:lang w:val="en-US" w:eastAsia="zh-CN"/>
              </w:rPr>
              <w:t>苯</w:t>
            </w:r>
            <w:r>
              <w:rPr>
                <w:rFonts w:hint="default" w:ascii="Times New Roman" w:hAnsi="Times New Roman" w:cs="Times New Roman"/>
                <w:color w:val="auto"/>
                <w:highlight w:val="none"/>
              </w:rPr>
              <w:t>排放速率为0.</w:t>
            </w:r>
            <w:r>
              <w:rPr>
                <w:rFonts w:hint="eastAsia" w:cs="Times New Roman"/>
                <w:color w:val="auto"/>
                <w:highlight w:val="none"/>
                <w:lang w:val="en-US" w:eastAsia="zh-CN"/>
              </w:rPr>
              <w:t>104</w:t>
            </w:r>
            <w:r>
              <w:rPr>
                <w:rFonts w:hint="default" w:ascii="Times New Roman" w:hAnsi="Times New Roman" w:cs="Times New Roman"/>
                <w:color w:val="auto"/>
                <w:highlight w:val="none"/>
              </w:rPr>
              <w:t>kg/h；TRVOC、非甲烷总烃排放速率为0.</w:t>
            </w:r>
            <w:r>
              <w:rPr>
                <w:rFonts w:hint="eastAsia" w:cs="Times New Roman"/>
                <w:color w:val="auto"/>
                <w:highlight w:val="none"/>
                <w:lang w:val="en-US" w:eastAsia="zh-CN"/>
              </w:rPr>
              <w:t>923</w:t>
            </w:r>
            <w:r>
              <w:rPr>
                <w:rFonts w:hint="default" w:ascii="Times New Roman" w:hAnsi="Times New Roman" w:cs="Times New Roman"/>
                <w:color w:val="auto"/>
                <w:highlight w:val="none"/>
              </w:rPr>
              <w:t>kg/h，排放浓度为</w:t>
            </w:r>
            <w:r>
              <w:rPr>
                <w:rFonts w:hint="eastAsia" w:cs="Times New Roman"/>
                <w:color w:val="auto"/>
                <w:highlight w:val="none"/>
                <w:lang w:val="en-US" w:eastAsia="zh-CN"/>
              </w:rPr>
              <w:t>28.8</w:t>
            </w:r>
            <w:r>
              <w:rPr>
                <w:rFonts w:hint="default" w:ascii="Times New Roman" w:hAnsi="Times New Roman" w:cs="Times New Roman"/>
                <w:color w:val="auto"/>
                <w:highlight w:val="none"/>
              </w:rPr>
              <w:t>mg/m³。</w:t>
            </w:r>
          </w:p>
          <w:p>
            <w:pPr>
              <w:numPr>
                <w:ilvl w:val="0"/>
                <w:numId w:val="7"/>
              </w:numPr>
              <w:spacing w:line="360" w:lineRule="auto"/>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异味</w:t>
            </w:r>
          </w:p>
          <w:p>
            <w:pPr>
              <w:numPr>
                <w:ilvl w:val="0"/>
                <w:numId w:val="0"/>
              </w:numPr>
              <w:spacing w:line="360" w:lineRule="auto"/>
              <w:ind w:firstLine="480" w:firstLineChars="200"/>
              <w:rPr>
                <w:rFonts w:hint="eastAsia" w:ascii="Times New Roman" w:hAnsi="Times New Roman" w:cs="Times New Roman"/>
                <w:color w:val="auto"/>
                <w:highlight w:val="none"/>
              </w:rPr>
            </w:pPr>
            <w:r>
              <w:rPr>
                <w:rFonts w:ascii="Times New Roman" w:hAnsi="Times New Roman" w:cs="Times New Roman"/>
                <w:color w:val="auto"/>
                <w:highlight w:val="none"/>
              </w:rPr>
              <w:t>本项目在调漆-喷漆-</w:t>
            </w:r>
            <w:r>
              <w:rPr>
                <w:rFonts w:hint="eastAsia" w:ascii="Times New Roman" w:hAnsi="Times New Roman" w:cs="Times New Roman"/>
                <w:color w:val="auto"/>
                <w:highlight w:val="none"/>
              </w:rPr>
              <w:t>晾</w:t>
            </w:r>
            <w:r>
              <w:rPr>
                <w:rFonts w:ascii="Times New Roman" w:hAnsi="Times New Roman" w:cs="Times New Roman"/>
                <w:color w:val="auto"/>
                <w:highlight w:val="none"/>
              </w:rPr>
              <w:t>干过程中会产生异味，以臭气浓度作为评价因子。调漆-喷漆-</w:t>
            </w:r>
            <w:r>
              <w:rPr>
                <w:rFonts w:hint="eastAsia" w:ascii="Times New Roman" w:hAnsi="Times New Roman" w:cs="Times New Roman"/>
                <w:color w:val="auto"/>
                <w:highlight w:val="none"/>
              </w:rPr>
              <w:t>晾</w:t>
            </w:r>
            <w:r>
              <w:rPr>
                <w:rFonts w:ascii="Times New Roman" w:hAnsi="Times New Roman" w:cs="Times New Roman"/>
                <w:color w:val="auto"/>
                <w:highlight w:val="none"/>
              </w:rPr>
              <w:t>干</w:t>
            </w:r>
            <w:r>
              <w:rPr>
                <w:rFonts w:hint="eastAsia" w:ascii="Times New Roman" w:hAnsi="Times New Roman" w:cs="Times New Roman"/>
                <w:color w:val="auto"/>
                <w:highlight w:val="none"/>
              </w:rPr>
              <w:t>过程在伸缩式喷漆房中进行，喷漆房负压设置，收集效率按9</w:t>
            </w:r>
            <w:r>
              <w:rPr>
                <w:rFonts w:hint="eastAsia" w:ascii="Times New Roman" w:hAnsi="Times New Roman" w:cs="Times New Roman"/>
                <w:color w:val="auto"/>
                <w:highlight w:val="none"/>
                <w:lang w:val="en-US" w:eastAsia="zh-CN"/>
              </w:rPr>
              <w:t>7</w:t>
            </w:r>
            <w:r>
              <w:rPr>
                <w:rFonts w:hint="eastAsia" w:ascii="Times New Roman" w:hAnsi="Times New Roman" w:cs="Times New Roman"/>
                <w:color w:val="auto"/>
                <w:highlight w:val="none"/>
              </w:rPr>
              <w:t>%计，</w:t>
            </w:r>
            <w:r>
              <w:rPr>
                <w:rFonts w:ascii="Times New Roman" w:hAnsi="Times New Roman" w:cs="Times New Roman"/>
                <w:color w:val="auto"/>
                <w:szCs w:val="32"/>
                <w:highlight w:val="none"/>
              </w:rPr>
              <w:t>异味经收集通过管道进入“活性炭吸附/脱附催化燃烧装置”进行处理，处理后的废气通过排气筒排放</w:t>
            </w:r>
            <w:r>
              <w:rPr>
                <w:rFonts w:hint="eastAsia" w:ascii="Times New Roman" w:hAnsi="Times New Roman" w:cs="Times New Roman"/>
                <w:color w:val="auto"/>
                <w:szCs w:val="32"/>
                <w:highlight w:val="none"/>
              </w:rPr>
              <w:t>，</w:t>
            </w:r>
            <w:r>
              <w:rPr>
                <w:rFonts w:hint="eastAsia" w:ascii="Times New Roman" w:hAnsi="Times New Roman" w:cs="Times New Roman"/>
                <w:color w:val="auto"/>
                <w:highlight w:val="none"/>
              </w:rPr>
              <w:t>未收集的异味物质无组织排放。</w:t>
            </w:r>
          </w:p>
          <w:p>
            <w:pPr>
              <w:spacing w:line="360" w:lineRule="auto"/>
              <w:ind w:firstLine="480" w:firstLineChars="200"/>
              <w:rPr>
                <w:color w:val="auto"/>
                <w:highlight w:val="none"/>
              </w:rPr>
            </w:pPr>
            <w:r>
              <w:rPr>
                <w:color w:val="auto"/>
                <w:highlight w:val="none"/>
              </w:rPr>
              <w:t>本项目类比</w:t>
            </w:r>
            <w:r>
              <w:rPr>
                <w:rFonts w:hint="eastAsia"/>
                <w:color w:val="auto"/>
                <w:highlight w:val="none"/>
              </w:rPr>
              <w:t>多维绿建科技（天津）有限公司</w:t>
            </w:r>
            <w:r>
              <w:rPr>
                <w:rFonts w:hint="eastAsia"/>
                <w:color w:val="auto"/>
                <w:highlight w:val="none"/>
                <w:lang w:val="en-US" w:eastAsia="zh-CN"/>
              </w:rPr>
              <w:t>例行</w:t>
            </w:r>
            <w:r>
              <w:rPr>
                <w:rFonts w:hint="eastAsia"/>
                <w:color w:val="auto"/>
                <w:highlight w:val="none"/>
              </w:rPr>
              <w:t>监测数据，监测时工况达到75%以上</w:t>
            </w:r>
            <w:r>
              <w:rPr>
                <w:color w:val="auto"/>
                <w:highlight w:val="none"/>
              </w:rPr>
              <w:t>，类比对象与本项目可比性分析见下表。</w:t>
            </w:r>
          </w:p>
          <w:p>
            <w:pPr>
              <w:spacing w:line="360" w:lineRule="auto"/>
              <w:jc w:val="center"/>
              <w:rPr>
                <w:color w:val="auto"/>
                <w:highlight w:val="none"/>
              </w:rPr>
            </w:pPr>
            <w:r>
              <w:rPr>
                <w:b/>
                <w:bCs/>
                <w:color w:val="auto"/>
                <w:sz w:val="21"/>
                <w:szCs w:val="21"/>
                <w:highlight w:val="none"/>
              </w:rPr>
              <w:t>表4</w:t>
            </w:r>
            <w:r>
              <w:rPr>
                <w:rFonts w:hint="eastAsia"/>
                <w:b/>
                <w:bCs/>
                <w:color w:val="auto"/>
                <w:sz w:val="21"/>
                <w:szCs w:val="21"/>
                <w:highlight w:val="none"/>
              </w:rPr>
              <w:t>-</w:t>
            </w:r>
            <w:r>
              <w:rPr>
                <w:rFonts w:hint="eastAsia"/>
                <w:b/>
                <w:bCs/>
                <w:color w:val="auto"/>
                <w:sz w:val="21"/>
                <w:szCs w:val="21"/>
                <w:highlight w:val="none"/>
                <w:lang w:val="en-US" w:eastAsia="zh-CN"/>
              </w:rPr>
              <w:t>10</w:t>
            </w:r>
            <w:r>
              <w:rPr>
                <w:b/>
                <w:bCs/>
                <w:color w:val="auto"/>
                <w:sz w:val="21"/>
                <w:szCs w:val="21"/>
                <w:highlight w:val="none"/>
              </w:rPr>
              <w:t>类比对象与本项目可比性分析表</w:t>
            </w:r>
          </w:p>
          <w:tbl>
            <w:tblPr>
              <w:tblStyle w:val="29"/>
              <w:tblW w:w="4998" w:type="pct"/>
              <w:tblInd w:w="0" w:type="dxa"/>
              <w:tblLayout w:type="autofit"/>
              <w:tblCellMar>
                <w:top w:w="0" w:type="dxa"/>
                <w:left w:w="108" w:type="dxa"/>
                <w:bottom w:w="0" w:type="dxa"/>
                <w:right w:w="108" w:type="dxa"/>
              </w:tblCellMar>
            </w:tblPr>
            <w:tblGrid>
              <w:gridCol w:w="1319"/>
              <w:gridCol w:w="1485"/>
              <w:gridCol w:w="1490"/>
              <w:gridCol w:w="1476"/>
              <w:gridCol w:w="1499"/>
              <w:gridCol w:w="1825"/>
            </w:tblGrid>
            <w:tr>
              <w:tblPrEx>
                <w:tblCellMar>
                  <w:top w:w="0" w:type="dxa"/>
                  <w:left w:w="108" w:type="dxa"/>
                  <w:bottom w:w="0" w:type="dxa"/>
                  <w:right w:w="108" w:type="dxa"/>
                </w:tblCellMar>
              </w:tblPrEx>
              <w:trPr>
                <w:trHeight w:val="357" w:hRule="atLeast"/>
              </w:trPr>
              <w:tc>
                <w:tcPr>
                  <w:tcW w:w="72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color w:val="auto"/>
                      <w:sz w:val="21"/>
                      <w:szCs w:val="21"/>
                      <w:highlight w:val="none"/>
                    </w:rPr>
                  </w:pPr>
                  <w:r>
                    <w:rPr>
                      <w:rFonts w:hint="eastAsia"/>
                      <w:color w:val="auto"/>
                      <w:sz w:val="21"/>
                      <w:szCs w:val="21"/>
                      <w:highlight w:val="none"/>
                    </w:rPr>
                    <w:t>类比项目</w:t>
                  </w:r>
                </w:p>
              </w:tc>
              <w:tc>
                <w:tcPr>
                  <w:tcW w:w="1635" w:type="pct"/>
                  <w:gridSpan w:val="2"/>
                  <w:tcBorders>
                    <w:top w:val="single" w:color="000000" w:sz="4" w:space="0"/>
                    <w:left w:val="single" w:color="000000" w:sz="4" w:space="0"/>
                    <w:bottom w:val="single" w:color="000000" w:sz="4" w:space="0"/>
                    <w:right w:val="single" w:color="000000" w:sz="4" w:space="0"/>
                  </w:tcBorders>
                  <w:noWrap w:val="0"/>
                  <w:vAlign w:val="center"/>
                </w:tcPr>
                <w:p>
                  <w:pPr>
                    <w:wordWrap w:val="0"/>
                    <w:topLinePunct/>
                    <w:jc w:val="center"/>
                    <w:rPr>
                      <w:rFonts w:hint="eastAsia"/>
                      <w:color w:val="auto"/>
                      <w:sz w:val="21"/>
                      <w:szCs w:val="21"/>
                      <w:highlight w:val="none"/>
                      <w:lang w:val="en-US" w:eastAsia="zh-CN"/>
                    </w:rPr>
                  </w:pPr>
                  <w:r>
                    <w:rPr>
                      <w:rFonts w:hint="eastAsia"/>
                      <w:color w:val="auto"/>
                      <w:sz w:val="21"/>
                      <w:szCs w:val="21"/>
                      <w:highlight w:val="none"/>
                      <w:lang w:val="en-US" w:eastAsia="zh-CN"/>
                    </w:rPr>
                    <w:t>多维绿建科技（天津）有限公司现有工程</w:t>
                  </w:r>
                </w:p>
              </w:tc>
              <w:tc>
                <w:tcPr>
                  <w:tcW w:w="1635"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rPr>
                    <w:t>本项目</w:t>
                  </w:r>
                </w:p>
              </w:tc>
              <w:tc>
                <w:tcPr>
                  <w:tcW w:w="100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color w:val="auto"/>
                      <w:sz w:val="21"/>
                      <w:szCs w:val="21"/>
                      <w:highlight w:val="none"/>
                    </w:rPr>
                  </w:pPr>
                  <w:r>
                    <w:rPr>
                      <w:rFonts w:hint="eastAsia"/>
                      <w:color w:val="auto"/>
                      <w:sz w:val="21"/>
                      <w:szCs w:val="21"/>
                      <w:highlight w:val="none"/>
                    </w:rPr>
                    <w:t>类比分析</w:t>
                  </w:r>
                </w:p>
              </w:tc>
            </w:tr>
            <w:tr>
              <w:tblPrEx>
                <w:tblCellMar>
                  <w:top w:w="0" w:type="dxa"/>
                  <w:left w:w="108" w:type="dxa"/>
                  <w:bottom w:w="0" w:type="dxa"/>
                  <w:right w:w="108" w:type="dxa"/>
                </w:tblCellMar>
              </w:tblPrEx>
              <w:trPr>
                <w:trHeight w:val="815" w:hRule="atLeast"/>
              </w:trPr>
              <w:tc>
                <w:tcPr>
                  <w:tcW w:w="72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color w:val="auto"/>
                      <w:sz w:val="21"/>
                      <w:szCs w:val="21"/>
                      <w:highlight w:val="none"/>
                    </w:rPr>
                  </w:pPr>
                  <w:r>
                    <w:rPr>
                      <w:rFonts w:hint="eastAsia"/>
                      <w:color w:val="auto"/>
                      <w:sz w:val="21"/>
                      <w:szCs w:val="21"/>
                      <w:highlight w:val="none"/>
                    </w:rPr>
                    <w:t>原辅材料种类及用量</w:t>
                  </w:r>
                </w:p>
              </w:tc>
              <w:tc>
                <w:tcPr>
                  <w:tcW w:w="1635" w:type="pct"/>
                  <w:gridSpan w:val="2"/>
                  <w:tcBorders>
                    <w:top w:val="single" w:color="000000" w:sz="4" w:space="0"/>
                    <w:left w:val="single" w:color="000000" w:sz="4" w:space="0"/>
                    <w:bottom w:val="single" w:color="000000" w:sz="4" w:space="0"/>
                    <w:right w:val="single" w:color="000000" w:sz="4" w:space="0"/>
                  </w:tcBorders>
                  <w:noWrap w:val="0"/>
                  <w:vAlign w:val="center"/>
                </w:tcPr>
                <w:p>
                  <w:pPr>
                    <w:wordWrap w:val="0"/>
                    <w:topLinePunct/>
                    <w:jc w:val="center"/>
                    <w:rPr>
                      <w:rFonts w:hint="eastAsia"/>
                      <w:color w:val="auto"/>
                      <w:sz w:val="21"/>
                      <w:szCs w:val="21"/>
                      <w:highlight w:val="none"/>
                      <w:lang w:val="en-US" w:eastAsia="zh-CN"/>
                    </w:rPr>
                  </w:pPr>
                  <w:r>
                    <w:rPr>
                      <w:rFonts w:hint="eastAsia"/>
                      <w:color w:val="auto"/>
                      <w:sz w:val="21"/>
                      <w:szCs w:val="21"/>
                      <w:highlight w:val="none"/>
                      <w:lang w:val="en-US" w:eastAsia="zh-CN"/>
                    </w:rPr>
                    <w:t>环氧类油漆及辅料：76.8t/a</w:t>
                  </w:r>
                </w:p>
                <w:p>
                  <w:pPr>
                    <w:wordWrap w:val="0"/>
                    <w:topLinePunct/>
                    <w:jc w:val="center"/>
                    <w:rPr>
                      <w:rFonts w:hint="eastAsia"/>
                      <w:color w:val="auto"/>
                      <w:sz w:val="21"/>
                      <w:szCs w:val="21"/>
                      <w:highlight w:val="none"/>
                      <w:lang w:val="en-US" w:eastAsia="zh-CN"/>
                    </w:rPr>
                  </w:pPr>
                  <w:r>
                    <w:rPr>
                      <w:rFonts w:hint="eastAsia"/>
                      <w:color w:val="auto"/>
                      <w:sz w:val="21"/>
                      <w:szCs w:val="21"/>
                      <w:highlight w:val="none"/>
                      <w:lang w:val="en-US" w:eastAsia="zh-CN"/>
                    </w:rPr>
                    <w:t>醇酸类油漆及辅料：19t/a</w:t>
                  </w:r>
                </w:p>
                <w:p>
                  <w:pPr>
                    <w:wordWrap w:val="0"/>
                    <w:topLinePunct/>
                    <w:jc w:val="center"/>
                    <w:rPr>
                      <w:rFonts w:hint="default"/>
                      <w:color w:val="auto"/>
                      <w:sz w:val="21"/>
                      <w:szCs w:val="21"/>
                      <w:highlight w:val="none"/>
                      <w:lang w:val="en-US" w:eastAsia="zh-CN"/>
                    </w:rPr>
                  </w:pPr>
                  <w:r>
                    <w:rPr>
                      <w:rFonts w:hint="eastAsia"/>
                      <w:color w:val="auto"/>
                      <w:sz w:val="21"/>
                      <w:szCs w:val="21"/>
                      <w:highlight w:val="none"/>
                      <w:lang w:val="en-US" w:eastAsia="zh-CN"/>
                    </w:rPr>
                    <w:t>水性漆：13t/a</w:t>
                  </w:r>
                </w:p>
              </w:tc>
              <w:tc>
                <w:tcPr>
                  <w:tcW w:w="1635" w:type="pct"/>
                  <w:gridSpan w:val="2"/>
                  <w:tcBorders>
                    <w:top w:val="single" w:color="000000" w:sz="4" w:space="0"/>
                    <w:left w:val="single" w:color="000000" w:sz="4" w:space="0"/>
                    <w:bottom w:val="single" w:color="000000" w:sz="4" w:space="0"/>
                    <w:right w:val="single" w:color="000000" w:sz="4" w:space="0"/>
                  </w:tcBorders>
                  <w:noWrap w:val="0"/>
                  <w:vAlign w:val="center"/>
                </w:tcPr>
                <w:p>
                  <w:pPr>
                    <w:wordWrap w:val="0"/>
                    <w:topLinePunct/>
                    <w:jc w:val="center"/>
                    <w:rPr>
                      <w:rFonts w:hint="default"/>
                      <w:color w:val="auto"/>
                      <w:sz w:val="21"/>
                      <w:szCs w:val="21"/>
                      <w:highlight w:val="none"/>
                      <w:lang w:val="en-US" w:eastAsia="zh-CN"/>
                    </w:rPr>
                  </w:pPr>
                  <w:r>
                    <w:rPr>
                      <w:rFonts w:hint="default"/>
                      <w:color w:val="auto"/>
                      <w:sz w:val="21"/>
                      <w:szCs w:val="21"/>
                      <w:highlight w:val="none"/>
                      <w:lang w:val="en-US" w:eastAsia="zh-CN"/>
                    </w:rPr>
                    <w:t>油性漆：8.5t/a</w:t>
                  </w:r>
                </w:p>
                <w:p>
                  <w:pPr>
                    <w:wordWrap w:val="0"/>
                    <w:topLinePunct/>
                    <w:jc w:val="center"/>
                    <w:rPr>
                      <w:rFonts w:hint="default"/>
                      <w:color w:val="auto"/>
                      <w:sz w:val="21"/>
                      <w:szCs w:val="21"/>
                      <w:highlight w:val="none"/>
                      <w:lang w:val="en-US" w:eastAsia="zh-CN"/>
                    </w:rPr>
                  </w:pPr>
                  <w:r>
                    <w:rPr>
                      <w:rFonts w:hint="default"/>
                      <w:color w:val="auto"/>
                      <w:sz w:val="21"/>
                      <w:szCs w:val="21"/>
                      <w:highlight w:val="none"/>
                      <w:lang w:val="en-US" w:eastAsia="zh-CN"/>
                    </w:rPr>
                    <w:t>水性漆：27.3t/a</w:t>
                  </w:r>
                </w:p>
              </w:tc>
              <w:tc>
                <w:tcPr>
                  <w:tcW w:w="1003" w:type="pct"/>
                  <w:tcBorders>
                    <w:top w:val="single" w:color="000000" w:sz="4" w:space="0"/>
                    <w:left w:val="single" w:color="000000" w:sz="4" w:space="0"/>
                    <w:bottom w:val="single" w:color="000000" w:sz="4" w:space="0"/>
                    <w:right w:val="single" w:color="000000" w:sz="4" w:space="0"/>
                  </w:tcBorders>
                  <w:noWrap w:val="0"/>
                  <w:vAlign w:val="center"/>
                </w:tcPr>
                <w:p>
                  <w:pPr>
                    <w:wordWrap w:val="0"/>
                    <w:topLinePun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原辅料用量远小于类比项目</w:t>
                  </w:r>
                </w:p>
              </w:tc>
            </w:tr>
            <w:tr>
              <w:tblPrEx>
                <w:tblCellMar>
                  <w:top w:w="0" w:type="dxa"/>
                  <w:left w:w="108" w:type="dxa"/>
                  <w:bottom w:w="0" w:type="dxa"/>
                  <w:right w:w="108" w:type="dxa"/>
                </w:tblCellMar>
              </w:tblPrEx>
              <w:trPr>
                <w:trHeight w:val="90" w:hRule="atLeast"/>
              </w:trPr>
              <w:tc>
                <w:tcPr>
                  <w:tcW w:w="72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color w:val="auto"/>
                      <w:sz w:val="21"/>
                      <w:szCs w:val="21"/>
                      <w:highlight w:val="none"/>
                    </w:rPr>
                  </w:pPr>
                  <w:r>
                    <w:rPr>
                      <w:rFonts w:hint="eastAsia"/>
                      <w:color w:val="auto"/>
                      <w:sz w:val="21"/>
                      <w:szCs w:val="21"/>
                      <w:highlight w:val="none"/>
                    </w:rPr>
                    <w:t>产污生产工艺</w:t>
                  </w:r>
                </w:p>
              </w:tc>
              <w:tc>
                <w:tcPr>
                  <w:tcW w:w="1635" w:type="pct"/>
                  <w:gridSpan w:val="2"/>
                  <w:tcBorders>
                    <w:top w:val="single" w:color="000000" w:sz="4" w:space="0"/>
                    <w:left w:val="single" w:color="000000" w:sz="4" w:space="0"/>
                    <w:bottom w:val="single" w:color="000000" w:sz="4" w:space="0"/>
                    <w:right w:val="single" w:color="000000" w:sz="4" w:space="0"/>
                  </w:tcBorders>
                  <w:noWrap w:val="0"/>
                  <w:vAlign w:val="center"/>
                </w:tcPr>
                <w:p>
                  <w:pPr>
                    <w:wordWrap w:val="0"/>
                    <w:topLinePunct/>
                    <w:jc w:val="center"/>
                    <w:rPr>
                      <w:rFonts w:hint="default"/>
                      <w:color w:val="auto"/>
                      <w:sz w:val="21"/>
                      <w:szCs w:val="21"/>
                      <w:highlight w:val="none"/>
                      <w:lang w:val="en-US" w:eastAsia="zh-CN"/>
                    </w:rPr>
                  </w:pPr>
                  <w:r>
                    <w:rPr>
                      <w:rFonts w:hint="eastAsia"/>
                      <w:color w:val="auto"/>
                      <w:sz w:val="21"/>
                      <w:szCs w:val="21"/>
                      <w:highlight w:val="none"/>
                      <w:lang w:val="en-US" w:eastAsia="zh-CN"/>
                    </w:rPr>
                    <w:t>调漆、喷漆、烘干</w:t>
                  </w:r>
                </w:p>
              </w:tc>
              <w:tc>
                <w:tcPr>
                  <w:tcW w:w="1635"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调漆、喷漆、晾干</w:t>
                  </w:r>
                </w:p>
              </w:tc>
              <w:tc>
                <w:tcPr>
                  <w:tcW w:w="100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相似</w:t>
                  </w:r>
                </w:p>
              </w:tc>
            </w:tr>
            <w:tr>
              <w:tblPrEx>
                <w:tblCellMar>
                  <w:top w:w="0" w:type="dxa"/>
                  <w:left w:w="108" w:type="dxa"/>
                  <w:bottom w:w="0" w:type="dxa"/>
                  <w:right w:w="108" w:type="dxa"/>
                </w:tblCellMar>
              </w:tblPrEx>
              <w:trPr>
                <w:trHeight w:val="90" w:hRule="atLeast"/>
              </w:trPr>
              <w:tc>
                <w:tcPr>
                  <w:tcW w:w="72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收集方式</w:t>
                  </w:r>
                </w:p>
              </w:tc>
              <w:tc>
                <w:tcPr>
                  <w:tcW w:w="1635" w:type="pct"/>
                  <w:gridSpan w:val="2"/>
                  <w:tcBorders>
                    <w:top w:val="single" w:color="000000" w:sz="4" w:space="0"/>
                    <w:left w:val="single" w:color="000000" w:sz="4" w:space="0"/>
                    <w:bottom w:val="single" w:color="000000" w:sz="4" w:space="0"/>
                    <w:right w:val="single" w:color="000000" w:sz="4" w:space="0"/>
                  </w:tcBorders>
                  <w:noWrap w:val="0"/>
                  <w:vAlign w:val="center"/>
                </w:tcPr>
                <w:p>
                  <w:pPr>
                    <w:wordWrap w:val="0"/>
                    <w:topLinePunct/>
                    <w:jc w:val="center"/>
                    <w:rPr>
                      <w:rFonts w:hint="default"/>
                      <w:color w:val="auto"/>
                      <w:sz w:val="21"/>
                      <w:szCs w:val="21"/>
                      <w:highlight w:val="none"/>
                      <w:lang w:val="en-US" w:eastAsia="zh-CN"/>
                    </w:rPr>
                  </w:pPr>
                  <w:r>
                    <w:rPr>
                      <w:rFonts w:hint="eastAsia"/>
                      <w:color w:val="auto"/>
                      <w:sz w:val="21"/>
                      <w:szCs w:val="21"/>
                      <w:highlight w:val="none"/>
                      <w:lang w:val="en-US" w:eastAsia="zh-CN"/>
                    </w:rPr>
                    <w:t>伸缩式喷漆房</w:t>
                  </w:r>
                </w:p>
              </w:tc>
              <w:tc>
                <w:tcPr>
                  <w:tcW w:w="1635"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color w:val="auto"/>
                      <w:sz w:val="21"/>
                      <w:szCs w:val="21"/>
                      <w:highlight w:val="none"/>
                      <w:lang w:val="en-US" w:eastAsia="zh-CN"/>
                    </w:rPr>
                  </w:pPr>
                  <w:r>
                    <w:rPr>
                      <w:rFonts w:hint="eastAsia"/>
                      <w:color w:val="auto"/>
                      <w:sz w:val="21"/>
                      <w:szCs w:val="21"/>
                      <w:highlight w:val="none"/>
                      <w:lang w:val="en-US" w:eastAsia="zh-CN"/>
                    </w:rPr>
                    <w:t>伸缩式喷漆房</w:t>
                  </w:r>
                </w:p>
              </w:tc>
              <w:tc>
                <w:tcPr>
                  <w:tcW w:w="100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color w:val="auto"/>
                      <w:sz w:val="21"/>
                      <w:szCs w:val="21"/>
                      <w:highlight w:val="none"/>
                      <w:lang w:val="en-US" w:eastAsia="zh-CN"/>
                    </w:rPr>
                  </w:pPr>
                  <w:r>
                    <w:rPr>
                      <w:rFonts w:hint="eastAsia"/>
                      <w:color w:val="auto"/>
                      <w:sz w:val="21"/>
                      <w:szCs w:val="21"/>
                      <w:highlight w:val="none"/>
                      <w:lang w:val="en-US" w:eastAsia="zh-CN"/>
                    </w:rPr>
                    <w:t>相同</w:t>
                  </w:r>
                </w:p>
              </w:tc>
            </w:tr>
            <w:tr>
              <w:tblPrEx>
                <w:tblCellMar>
                  <w:top w:w="0" w:type="dxa"/>
                  <w:left w:w="108" w:type="dxa"/>
                  <w:bottom w:w="0" w:type="dxa"/>
                  <w:right w:w="108" w:type="dxa"/>
                </w:tblCellMar>
              </w:tblPrEx>
              <w:trPr>
                <w:trHeight w:val="362" w:hRule="atLeast"/>
              </w:trPr>
              <w:tc>
                <w:tcPr>
                  <w:tcW w:w="72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color w:val="auto"/>
                      <w:sz w:val="21"/>
                      <w:szCs w:val="21"/>
                      <w:highlight w:val="none"/>
                    </w:rPr>
                  </w:pPr>
                  <w:r>
                    <w:rPr>
                      <w:rFonts w:hint="eastAsia"/>
                      <w:color w:val="auto"/>
                      <w:sz w:val="21"/>
                      <w:szCs w:val="21"/>
                      <w:highlight w:val="none"/>
                    </w:rPr>
                    <w:t>废气处理方式</w:t>
                  </w:r>
                </w:p>
              </w:tc>
              <w:tc>
                <w:tcPr>
                  <w:tcW w:w="1635" w:type="pct"/>
                  <w:gridSpan w:val="2"/>
                  <w:tcBorders>
                    <w:top w:val="single" w:color="000000" w:sz="4" w:space="0"/>
                    <w:left w:val="single" w:color="000000" w:sz="4" w:space="0"/>
                    <w:bottom w:val="single" w:color="000000" w:sz="4" w:space="0"/>
                    <w:right w:val="single" w:color="000000" w:sz="4" w:space="0"/>
                  </w:tcBorders>
                  <w:noWrap w:val="0"/>
                  <w:vAlign w:val="center"/>
                </w:tcPr>
                <w:p>
                  <w:pPr>
                    <w:wordWrap w:val="0"/>
                    <w:topLinePunct/>
                    <w:jc w:val="center"/>
                    <w:rPr>
                      <w:rFonts w:hint="eastAsia"/>
                      <w:color w:val="auto"/>
                      <w:sz w:val="21"/>
                      <w:szCs w:val="21"/>
                      <w:highlight w:val="none"/>
                      <w:lang w:val="en-US" w:eastAsia="zh-CN"/>
                    </w:rPr>
                  </w:pPr>
                  <w:r>
                    <w:rPr>
                      <w:rFonts w:hint="eastAsia"/>
                      <w:color w:val="auto"/>
                      <w:sz w:val="21"/>
                      <w:szCs w:val="21"/>
                      <w:highlight w:val="none"/>
                      <w:lang w:val="en-US" w:eastAsia="zh-CN"/>
                    </w:rPr>
                    <w:t>活性炭吸附-脱附催化燃烧15m 高排气筒，净化效率＞80%。</w:t>
                  </w:r>
                </w:p>
              </w:tc>
              <w:tc>
                <w:tcPr>
                  <w:tcW w:w="1635"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活性炭吸附-脱附催化燃烧15m 高排气筒，净化效率＞80%。</w:t>
                  </w:r>
                </w:p>
              </w:tc>
              <w:tc>
                <w:tcPr>
                  <w:tcW w:w="100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color w:val="auto"/>
                      <w:sz w:val="21"/>
                      <w:szCs w:val="21"/>
                      <w:highlight w:val="none"/>
                    </w:rPr>
                  </w:pPr>
                  <w:r>
                    <w:rPr>
                      <w:rFonts w:hint="eastAsia"/>
                      <w:color w:val="auto"/>
                      <w:sz w:val="21"/>
                      <w:szCs w:val="21"/>
                      <w:highlight w:val="none"/>
                      <w:lang w:val="en-US" w:eastAsia="zh-CN"/>
                    </w:rPr>
                    <w:t>类似</w:t>
                  </w:r>
                </w:p>
              </w:tc>
            </w:tr>
            <w:tr>
              <w:tblPrEx>
                <w:tblCellMar>
                  <w:top w:w="0" w:type="dxa"/>
                  <w:left w:w="108" w:type="dxa"/>
                  <w:bottom w:w="0" w:type="dxa"/>
                  <w:right w:w="108" w:type="dxa"/>
                </w:tblCellMar>
              </w:tblPrEx>
              <w:trPr>
                <w:trHeight w:val="362" w:hRule="atLeast"/>
              </w:trPr>
              <w:tc>
                <w:tcPr>
                  <w:tcW w:w="725"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color w:val="auto"/>
                      <w:sz w:val="21"/>
                      <w:szCs w:val="21"/>
                      <w:highlight w:val="none"/>
                    </w:rPr>
                  </w:pPr>
                  <w:r>
                    <w:rPr>
                      <w:rFonts w:hint="eastAsia"/>
                      <w:color w:val="auto"/>
                      <w:sz w:val="21"/>
                      <w:szCs w:val="21"/>
                      <w:highlight w:val="none"/>
                    </w:rPr>
                    <w:t>厂界范围</w:t>
                  </w:r>
                </w:p>
              </w:tc>
              <w:tc>
                <w:tcPr>
                  <w:tcW w:w="1635" w:type="pct"/>
                  <w:gridSpan w:val="2"/>
                  <w:tcBorders>
                    <w:top w:val="single" w:color="000000" w:sz="4" w:space="0"/>
                    <w:left w:val="single" w:color="000000" w:sz="4" w:space="0"/>
                    <w:bottom w:val="single" w:color="000000" w:sz="4" w:space="0"/>
                    <w:right w:val="single" w:color="000000" w:sz="4" w:space="0"/>
                  </w:tcBorders>
                  <w:noWrap w:val="0"/>
                  <w:vAlign w:val="center"/>
                </w:tcPr>
                <w:p>
                  <w:pPr>
                    <w:wordWrap w:val="0"/>
                    <w:topLinePunct/>
                    <w:jc w:val="center"/>
                    <w:rPr>
                      <w:rFonts w:hint="eastAsia"/>
                      <w:color w:val="auto"/>
                      <w:sz w:val="21"/>
                      <w:szCs w:val="21"/>
                      <w:highlight w:val="none"/>
                      <w:lang w:val="en-US" w:eastAsia="zh-CN"/>
                    </w:rPr>
                  </w:pPr>
                  <w:r>
                    <w:rPr>
                      <w:rFonts w:hint="eastAsia"/>
                      <w:color w:val="auto"/>
                      <w:sz w:val="21"/>
                      <w:szCs w:val="21"/>
                      <w:highlight w:val="none"/>
                      <w:lang w:val="en-US" w:eastAsia="zh-CN"/>
                    </w:rPr>
                    <w:t>车间临近厂界，监测期间臭气浓度监测点位为车间排气筒出口及厂界外1m</w:t>
                  </w:r>
                </w:p>
              </w:tc>
              <w:tc>
                <w:tcPr>
                  <w:tcW w:w="1635" w:type="pct"/>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color w:val="auto"/>
                      <w:sz w:val="21"/>
                      <w:szCs w:val="21"/>
                      <w:highlight w:val="none"/>
                      <w:lang w:val="en-US"/>
                    </w:rPr>
                  </w:pPr>
                  <w:r>
                    <w:rPr>
                      <w:rFonts w:hint="eastAsia"/>
                      <w:color w:val="auto"/>
                      <w:sz w:val="21"/>
                      <w:szCs w:val="21"/>
                      <w:highlight w:val="none"/>
                    </w:rPr>
                    <w:t>车间临近厂界，监测期间臭气浓度监测点位为车间排气筒出口及厂界外1m</w:t>
                  </w:r>
                </w:p>
              </w:tc>
              <w:tc>
                <w:tcPr>
                  <w:tcW w:w="1003"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eastAsia="宋体"/>
                      <w:color w:val="auto"/>
                      <w:sz w:val="21"/>
                      <w:szCs w:val="21"/>
                      <w:highlight w:val="none"/>
                      <w:lang w:val="en-US" w:eastAsia="zh-CN"/>
                    </w:rPr>
                  </w:pPr>
                  <w:r>
                    <w:rPr>
                      <w:rFonts w:hint="eastAsia"/>
                      <w:color w:val="auto"/>
                      <w:sz w:val="21"/>
                      <w:szCs w:val="21"/>
                      <w:highlight w:val="none"/>
                      <w:lang w:val="en-US" w:eastAsia="zh-CN"/>
                    </w:rPr>
                    <w:t>相同</w:t>
                  </w:r>
                </w:p>
              </w:tc>
            </w:tr>
            <w:tr>
              <w:tblPrEx>
                <w:tblCellMar>
                  <w:top w:w="0" w:type="dxa"/>
                  <w:left w:w="108" w:type="dxa"/>
                  <w:bottom w:w="0" w:type="dxa"/>
                  <w:right w:w="108" w:type="dxa"/>
                </w:tblCellMar>
              </w:tblPrEx>
              <w:trPr>
                <w:trHeight w:val="362" w:hRule="atLeast"/>
              </w:trPr>
              <w:tc>
                <w:tcPr>
                  <w:tcW w:w="725" w:type="pct"/>
                  <w:vMerge w:val="restart"/>
                  <w:tcBorders>
                    <w:top w:val="single" w:color="000000" w:sz="4" w:space="0"/>
                    <w:left w:val="single" w:color="000000" w:sz="4" w:space="0"/>
                    <w:right w:val="single" w:color="000000" w:sz="4" w:space="0"/>
                  </w:tcBorders>
                  <w:noWrap w:val="0"/>
                  <w:vAlign w:val="center"/>
                </w:tcPr>
                <w:p>
                  <w:pPr>
                    <w:jc w:val="center"/>
                    <w:rPr>
                      <w:rFonts w:hint="eastAsia"/>
                      <w:color w:val="auto"/>
                      <w:sz w:val="21"/>
                      <w:szCs w:val="21"/>
                      <w:highlight w:val="none"/>
                    </w:rPr>
                  </w:pPr>
                  <w:r>
                    <w:rPr>
                      <w:rFonts w:hint="eastAsia"/>
                      <w:color w:val="auto"/>
                      <w:sz w:val="21"/>
                      <w:szCs w:val="21"/>
                      <w:highlight w:val="none"/>
                    </w:rPr>
                    <w:t>类比结果</w:t>
                  </w:r>
                </w:p>
                <w:p>
                  <w:pPr>
                    <w:jc w:val="center"/>
                    <w:rPr>
                      <w:rFonts w:hint="eastAsia"/>
                      <w:color w:val="auto"/>
                      <w:sz w:val="21"/>
                      <w:szCs w:val="21"/>
                      <w:highlight w:val="none"/>
                    </w:rPr>
                  </w:pPr>
                  <w:r>
                    <w:rPr>
                      <w:rFonts w:hint="eastAsia"/>
                      <w:color w:val="auto"/>
                      <w:sz w:val="21"/>
                      <w:szCs w:val="21"/>
                      <w:highlight w:val="none"/>
                    </w:rPr>
                    <w:t>（单位：无量纲）</w:t>
                  </w:r>
                </w:p>
              </w:tc>
              <w:tc>
                <w:tcPr>
                  <w:tcW w:w="816" w:type="pct"/>
                  <w:tcBorders>
                    <w:top w:val="single" w:color="000000" w:sz="4" w:space="0"/>
                    <w:left w:val="single" w:color="000000" w:sz="4" w:space="0"/>
                    <w:bottom w:val="single" w:color="000000" w:sz="4" w:space="0"/>
                    <w:right w:val="single" w:color="000000" w:sz="4" w:space="0"/>
                  </w:tcBorders>
                  <w:noWrap w:val="0"/>
                  <w:vAlign w:val="center"/>
                </w:tcPr>
                <w:p>
                  <w:pPr>
                    <w:wordWrap w:val="0"/>
                    <w:topLinePunct/>
                    <w:jc w:val="center"/>
                    <w:rPr>
                      <w:rFonts w:hint="eastAsia"/>
                      <w:color w:val="auto"/>
                      <w:sz w:val="21"/>
                      <w:szCs w:val="21"/>
                      <w:highlight w:val="none"/>
                      <w:lang w:val="en-US" w:eastAsia="zh-CN"/>
                    </w:rPr>
                  </w:pPr>
                  <w:r>
                    <w:rPr>
                      <w:rFonts w:hint="eastAsia"/>
                      <w:color w:val="auto"/>
                      <w:sz w:val="21"/>
                      <w:szCs w:val="21"/>
                      <w:highlight w:val="none"/>
                      <w:lang w:val="en-US" w:eastAsia="zh-CN"/>
                    </w:rPr>
                    <w:t>排气筒</w:t>
                  </w:r>
                </w:p>
              </w:tc>
              <w:tc>
                <w:tcPr>
                  <w:tcW w:w="819" w:type="pct"/>
                  <w:tcBorders>
                    <w:top w:val="single" w:color="000000" w:sz="4" w:space="0"/>
                    <w:left w:val="single" w:color="000000" w:sz="4" w:space="0"/>
                    <w:bottom w:val="single" w:color="000000" w:sz="4" w:space="0"/>
                    <w:right w:val="single" w:color="000000" w:sz="4" w:space="0"/>
                  </w:tcBorders>
                  <w:noWrap w:val="0"/>
                  <w:vAlign w:val="center"/>
                </w:tcPr>
                <w:p>
                  <w:pPr>
                    <w:wordWrap w:val="0"/>
                    <w:topLinePunct/>
                    <w:jc w:val="center"/>
                    <w:rPr>
                      <w:rFonts w:hint="default"/>
                      <w:color w:val="auto"/>
                      <w:sz w:val="21"/>
                      <w:szCs w:val="21"/>
                      <w:highlight w:val="none"/>
                      <w:lang w:val="en-US" w:eastAsia="zh-CN"/>
                    </w:rPr>
                  </w:pPr>
                  <w:r>
                    <w:rPr>
                      <w:rFonts w:hint="eastAsia"/>
                      <w:color w:val="auto"/>
                      <w:sz w:val="21"/>
                      <w:szCs w:val="21"/>
                      <w:highlight w:val="none"/>
                      <w:lang w:val="en-US" w:eastAsia="zh-CN"/>
                    </w:rPr>
                    <w:t>416</w:t>
                  </w:r>
                </w:p>
              </w:tc>
              <w:tc>
                <w:tcPr>
                  <w:tcW w:w="8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color w:val="auto"/>
                      <w:sz w:val="21"/>
                      <w:szCs w:val="21"/>
                      <w:highlight w:val="none"/>
                    </w:rPr>
                  </w:pPr>
                  <w:r>
                    <w:rPr>
                      <w:rFonts w:hint="eastAsia"/>
                      <w:color w:val="auto"/>
                      <w:sz w:val="21"/>
                      <w:szCs w:val="21"/>
                      <w:highlight w:val="none"/>
                    </w:rPr>
                    <w:t>排气筒</w:t>
                  </w:r>
                </w:p>
              </w:tc>
              <w:tc>
                <w:tcPr>
                  <w:tcW w:w="82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416</w:t>
                  </w:r>
                </w:p>
              </w:tc>
              <w:tc>
                <w:tcPr>
                  <w:tcW w:w="1003" w:type="pct"/>
                  <w:vMerge w:val="restart"/>
                  <w:tcBorders>
                    <w:top w:val="single" w:color="000000" w:sz="4" w:space="0"/>
                    <w:left w:val="single" w:color="000000" w:sz="4" w:space="0"/>
                    <w:right w:val="single" w:color="000000" w:sz="4" w:space="0"/>
                  </w:tcBorders>
                  <w:noWrap w:val="0"/>
                  <w:vAlign w:val="center"/>
                </w:tcPr>
                <w:p>
                  <w:pPr>
                    <w:jc w:val="center"/>
                    <w:rPr>
                      <w:rFonts w:hint="eastAsia"/>
                      <w:color w:val="auto"/>
                      <w:sz w:val="21"/>
                      <w:szCs w:val="21"/>
                      <w:highlight w:val="none"/>
                    </w:rPr>
                  </w:pPr>
                  <w:r>
                    <w:rPr>
                      <w:rFonts w:hint="eastAsia"/>
                      <w:color w:val="auto"/>
                      <w:sz w:val="21"/>
                      <w:szCs w:val="21"/>
                      <w:highlight w:val="none"/>
                    </w:rPr>
                    <w:t>/</w:t>
                  </w:r>
                </w:p>
              </w:tc>
            </w:tr>
            <w:tr>
              <w:tblPrEx>
                <w:tblCellMar>
                  <w:top w:w="0" w:type="dxa"/>
                  <w:left w:w="108" w:type="dxa"/>
                  <w:bottom w:w="0" w:type="dxa"/>
                  <w:right w:w="108" w:type="dxa"/>
                </w:tblCellMar>
              </w:tblPrEx>
              <w:trPr>
                <w:trHeight w:val="90" w:hRule="atLeast"/>
              </w:trPr>
              <w:tc>
                <w:tcPr>
                  <w:tcW w:w="725" w:type="pct"/>
                  <w:vMerge w:val="continue"/>
                  <w:tcBorders>
                    <w:left w:val="single" w:color="000000" w:sz="4" w:space="0"/>
                    <w:bottom w:val="single" w:color="000000" w:sz="4" w:space="0"/>
                    <w:right w:val="single" w:color="000000" w:sz="4" w:space="0"/>
                  </w:tcBorders>
                  <w:noWrap w:val="0"/>
                  <w:vAlign w:val="center"/>
                </w:tcPr>
                <w:p>
                  <w:pPr>
                    <w:jc w:val="center"/>
                    <w:rPr>
                      <w:rFonts w:hint="eastAsia"/>
                      <w:color w:val="auto"/>
                      <w:sz w:val="21"/>
                      <w:szCs w:val="21"/>
                      <w:highlight w:val="none"/>
                    </w:rPr>
                  </w:pPr>
                </w:p>
              </w:tc>
              <w:tc>
                <w:tcPr>
                  <w:tcW w:w="816" w:type="pct"/>
                  <w:tcBorders>
                    <w:top w:val="single" w:color="000000" w:sz="4" w:space="0"/>
                    <w:left w:val="single" w:color="000000" w:sz="4" w:space="0"/>
                    <w:bottom w:val="single" w:color="000000" w:sz="4" w:space="0"/>
                    <w:right w:val="single" w:color="000000" w:sz="4" w:space="0"/>
                  </w:tcBorders>
                  <w:noWrap w:val="0"/>
                  <w:vAlign w:val="center"/>
                </w:tcPr>
                <w:p>
                  <w:pPr>
                    <w:wordWrap w:val="0"/>
                    <w:topLinePunct/>
                    <w:jc w:val="center"/>
                    <w:rPr>
                      <w:rFonts w:hint="eastAsia"/>
                      <w:color w:val="auto"/>
                      <w:sz w:val="21"/>
                      <w:szCs w:val="21"/>
                      <w:highlight w:val="none"/>
                      <w:lang w:val="en-US" w:eastAsia="zh-CN"/>
                    </w:rPr>
                  </w:pPr>
                  <w:r>
                    <w:rPr>
                      <w:rFonts w:hint="eastAsia"/>
                      <w:color w:val="auto"/>
                      <w:sz w:val="21"/>
                      <w:szCs w:val="21"/>
                      <w:highlight w:val="none"/>
                      <w:lang w:val="en-US" w:eastAsia="zh-CN"/>
                    </w:rPr>
                    <w:t>无组织</w:t>
                  </w:r>
                </w:p>
              </w:tc>
              <w:tc>
                <w:tcPr>
                  <w:tcW w:w="819" w:type="pct"/>
                  <w:tcBorders>
                    <w:top w:val="single" w:color="000000" w:sz="4" w:space="0"/>
                    <w:left w:val="single" w:color="000000" w:sz="4" w:space="0"/>
                    <w:bottom w:val="single" w:color="000000" w:sz="4" w:space="0"/>
                    <w:right w:val="single" w:color="000000" w:sz="4" w:space="0"/>
                  </w:tcBorders>
                  <w:noWrap w:val="0"/>
                  <w:vAlign w:val="center"/>
                </w:tcPr>
                <w:p>
                  <w:pPr>
                    <w:wordWrap w:val="0"/>
                    <w:topLinePunct/>
                    <w:jc w:val="center"/>
                    <w:rPr>
                      <w:rFonts w:hint="default"/>
                      <w:color w:val="auto"/>
                      <w:sz w:val="21"/>
                      <w:szCs w:val="21"/>
                      <w:highlight w:val="none"/>
                      <w:lang w:val="en-US" w:eastAsia="zh-CN"/>
                    </w:rPr>
                  </w:pPr>
                  <w:r>
                    <w:rPr>
                      <w:rFonts w:hint="eastAsia"/>
                      <w:color w:val="auto"/>
                      <w:sz w:val="21"/>
                      <w:szCs w:val="21"/>
                      <w:highlight w:val="none"/>
                      <w:lang w:val="en-US" w:eastAsia="zh-CN"/>
                    </w:rPr>
                    <w:t>12</w:t>
                  </w:r>
                </w:p>
              </w:tc>
              <w:tc>
                <w:tcPr>
                  <w:tcW w:w="811"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color w:val="auto"/>
                      <w:sz w:val="21"/>
                      <w:szCs w:val="21"/>
                      <w:highlight w:val="none"/>
                    </w:rPr>
                  </w:pPr>
                  <w:r>
                    <w:rPr>
                      <w:rFonts w:hint="eastAsia"/>
                      <w:color w:val="auto"/>
                      <w:sz w:val="21"/>
                      <w:szCs w:val="21"/>
                      <w:highlight w:val="none"/>
                    </w:rPr>
                    <w:t>无组织</w:t>
                  </w:r>
                </w:p>
              </w:tc>
              <w:tc>
                <w:tcPr>
                  <w:tcW w:w="824"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color w:val="auto"/>
                      <w:sz w:val="21"/>
                      <w:szCs w:val="21"/>
                      <w:highlight w:val="none"/>
                      <w:lang w:val="en-US"/>
                    </w:rPr>
                  </w:pPr>
                  <w:r>
                    <w:rPr>
                      <w:rFonts w:hint="eastAsia"/>
                      <w:color w:val="auto"/>
                      <w:sz w:val="21"/>
                      <w:szCs w:val="21"/>
                      <w:highlight w:val="none"/>
                      <w:lang w:val="en-US" w:eastAsia="zh-CN"/>
                    </w:rPr>
                    <w:t>＜20</w:t>
                  </w:r>
                </w:p>
              </w:tc>
              <w:tc>
                <w:tcPr>
                  <w:tcW w:w="1003" w:type="pct"/>
                  <w:vMerge w:val="continue"/>
                  <w:tcBorders>
                    <w:left w:val="single" w:color="000000" w:sz="4" w:space="0"/>
                    <w:bottom w:val="single" w:color="000000" w:sz="4" w:space="0"/>
                    <w:right w:val="single" w:color="000000" w:sz="4" w:space="0"/>
                  </w:tcBorders>
                  <w:noWrap w:val="0"/>
                  <w:vAlign w:val="center"/>
                </w:tcPr>
                <w:p>
                  <w:pPr>
                    <w:jc w:val="center"/>
                    <w:rPr>
                      <w:rFonts w:hint="eastAsia"/>
                      <w:color w:val="auto"/>
                      <w:sz w:val="21"/>
                      <w:szCs w:val="21"/>
                      <w:highlight w:val="none"/>
                    </w:rPr>
                  </w:pPr>
                </w:p>
              </w:tc>
            </w:tr>
          </w:tbl>
          <w:p>
            <w:pPr>
              <w:pStyle w:val="73"/>
              <w:shd w:val="clear"/>
              <w:ind w:firstLine="480"/>
              <w:rPr>
                <w:rFonts w:hint="eastAsia" w:eastAsia="宋体"/>
                <w:color w:val="auto"/>
                <w:highlight w:val="none"/>
                <w:lang w:eastAsia="zh-CN"/>
              </w:rPr>
            </w:pPr>
            <w:r>
              <w:rPr>
                <w:rFonts w:hint="eastAsia"/>
                <w:color w:val="auto"/>
                <w:sz w:val="24"/>
                <w:highlight w:val="none"/>
              </w:rPr>
              <w:t>根据上表类比情况分析，本项目产污工艺与类比对象</w:t>
            </w:r>
            <w:r>
              <w:rPr>
                <w:rFonts w:hint="eastAsia"/>
                <w:color w:val="auto"/>
                <w:sz w:val="24"/>
                <w:highlight w:val="none"/>
                <w:lang w:val="en-US" w:eastAsia="zh-CN"/>
              </w:rPr>
              <w:t>相似</w:t>
            </w:r>
            <w:r>
              <w:rPr>
                <w:rFonts w:hint="eastAsia"/>
                <w:color w:val="auto"/>
                <w:sz w:val="24"/>
                <w:highlight w:val="none"/>
              </w:rPr>
              <w:t>，产生有机废气的原材料</w:t>
            </w:r>
            <w:r>
              <w:rPr>
                <w:rFonts w:hint="eastAsia"/>
                <w:color w:val="auto"/>
                <w:sz w:val="24"/>
                <w:highlight w:val="none"/>
                <w:lang w:val="en-US" w:eastAsia="zh-CN"/>
              </w:rPr>
              <w:t>用量远小于</w:t>
            </w:r>
            <w:r>
              <w:rPr>
                <w:rFonts w:hint="eastAsia"/>
                <w:color w:val="auto"/>
                <w:sz w:val="24"/>
                <w:highlight w:val="none"/>
              </w:rPr>
              <w:t>类比对象，废气处理工艺</w:t>
            </w:r>
            <w:r>
              <w:rPr>
                <w:rFonts w:hint="eastAsia"/>
                <w:color w:val="auto"/>
                <w:sz w:val="24"/>
                <w:highlight w:val="none"/>
                <w:lang w:val="en-US" w:eastAsia="zh-CN"/>
              </w:rPr>
              <w:t>与类比项目相似</w:t>
            </w:r>
            <w:r>
              <w:rPr>
                <w:rFonts w:hint="eastAsia"/>
                <w:color w:val="auto"/>
                <w:sz w:val="24"/>
                <w:highlight w:val="none"/>
              </w:rPr>
              <w:t>，</w:t>
            </w:r>
            <w:r>
              <w:rPr>
                <w:rFonts w:hint="eastAsia"/>
                <w:color w:val="auto"/>
                <w:sz w:val="24"/>
                <w:highlight w:val="none"/>
                <w:lang w:val="en-US" w:eastAsia="zh-CN"/>
              </w:rPr>
              <w:t>收集方式相同，</w:t>
            </w:r>
            <w:r>
              <w:rPr>
                <w:rFonts w:hint="eastAsia"/>
                <w:color w:val="auto"/>
                <w:sz w:val="24"/>
                <w:highlight w:val="none"/>
              </w:rPr>
              <w:t>因此</w:t>
            </w:r>
            <w:r>
              <w:rPr>
                <w:rFonts w:hint="eastAsia"/>
                <w:color w:val="auto"/>
                <w:highlight w:val="none"/>
              </w:rPr>
              <w:t>多维绿建科技（天津）有限公司</w:t>
            </w:r>
            <w:r>
              <w:rPr>
                <w:rFonts w:hint="eastAsia"/>
                <w:color w:val="auto"/>
                <w:sz w:val="24"/>
                <w:highlight w:val="none"/>
                <w:lang w:val="en-US" w:eastAsia="zh-CN"/>
              </w:rPr>
              <w:t>例行</w:t>
            </w:r>
            <w:r>
              <w:rPr>
                <w:rFonts w:hint="eastAsia"/>
                <w:color w:val="auto"/>
                <w:sz w:val="24"/>
                <w:highlight w:val="none"/>
              </w:rPr>
              <w:t>监测数据具有可类比性。参考类比项目臭气浓度监测最大值，保守估计本项目排气筒</w:t>
            </w:r>
            <w:r>
              <w:rPr>
                <w:rFonts w:hint="eastAsia"/>
                <w:color w:val="auto"/>
                <w:sz w:val="24"/>
                <w:highlight w:val="none"/>
                <w:lang w:val="en-US" w:eastAsia="zh-CN"/>
              </w:rPr>
              <w:t>P6</w:t>
            </w:r>
            <w:r>
              <w:rPr>
                <w:rFonts w:hint="eastAsia"/>
                <w:color w:val="auto"/>
                <w:sz w:val="24"/>
                <w:highlight w:val="none"/>
              </w:rPr>
              <w:t>有组织排放的臭气浓度小于</w:t>
            </w:r>
            <w:r>
              <w:rPr>
                <w:rFonts w:hint="eastAsia"/>
                <w:color w:val="auto"/>
                <w:sz w:val="24"/>
                <w:highlight w:val="none"/>
                <w:lang w:val="en-US" w:eastAsia="zh-CN"/>
              </w:rPr>
              <w:t>416（</w:t>
            </w:r>
            <w:r>
              <w:rPr>
                <w:rFonts w:hint="eastAsia"/>
                <w:color w:val="auto"/>
                <w:sz w:val="24"/>
                <w:highlight w:val="none"/>
              </w:rPr>
              <w:t>无量纲）</w:t>
            </w:r>
            <w:r>
              <w:rPr>
                <w:rFonts w:hint="eastAsia"/>
                <w:color w:val="auto"/>
                <w:sz w:val="24"/>
                <w:highlight w:val="none"/>
                <w:lang w:eastAsia="zh-CN"/>
              </w:rPr>
              <w:t>，</w:t>
            </w:r>
            <w:r>
              <w:rPr>
                <w:rFonts w:hint="eastAsia"/>
                <w:color w:val="auto"/>
                <w:sz w:val="24"/>
                <w:highlight w:val="none"/>
              </w:rPr>
              <w:t>能够满足《恶臭污染物排放标准》（DB12/059-2018）的有组织排放要求1000（无量纲）要求</w:t>
            </w:r>
            <w:r>
              <w:rPr>
                <w:rFonts w:hint="eastAsia"/>
                <w:color w:val="auto"/>
                <w:sz w:val="24"/>
                <w:highlight w:val="none"/>
              </w:rPr>
              <w:t>。</w:t>
            </w:r>
            <w:r>
              <w:rPr>
                <w:rFonts w:hint="eastAsia"/>
                <w:color w:val="auto"/>
                <w:highlight w:val="none"/>
                <w:lang w:val="en-US" w:eastAsia="zh-CN"/>
              </w:rPr>
              <w:t>本项目</w:t>
            </w:r>
            <w:r>
              <w:rPr>
                <w:rFonts w:hint="eastAsia"/>
                <w:color w:val="auto"/>
                <w:sz w:val="24"/>
                <w:highlight w:val="none"/>
              </w:rPr>
              <w:t>无组织排放的</w:t>
            </w:r>
            <w:r>
              <w:rPr>
                <w:rFonts w:hint="eastAsia"/>
                <w:color w:val="auto"/>
                <w:sz w:val="24"/>
                <w:highlight w:val="none"/>
                <w:lang w:val="en-US" w:eastAsia="zh-CN"/>
              </w:rPr>
              <w:t>异味物质在厂界处</w:t>
            </w:r>
            <w:r>
              <w:rPr>
                <w:rFonts w:hint="eastAsia"/>
                <w:color w:val="auto"/>
                <w:sz w:val="24"/>
                <w:highlight w:val="none"/>
              </w:rPr>
              <w:t>臭气浓度</w:t>
            </w:r>
            <w:r>
              <w:rPr>
                <w:rFonts w:hint="eastAsia"/>
                <w:color w:val="auto"/>
                <w:sz w:val="24"/>
                <w:highlight w:val="none"/>
                <w:lang w:val="en-US" w:eastAsia="zh-CN"/>
              </w:rPr>
              <w:t>监测值</w:t>
            </w:r>
            <w:r>
              <w:rPr>
                <w:rFonts w:hint="eastAsia"/>
                <w:color w:val="auto"/>
                <w:sz w:val="24"/>
                <w:highlight w:val="none"/>
              </w:rPr>
              <w:t>小于</w:t>
            </w:r>
            <w:r>
              <w:rPr>
                <w:rFonts w:hint="eastAsia"/>
                <w:color w:val="auto"/>
                <w:sz w:val="24"/>
                <w:highlight w:val="none"/>
                <w:lang w:val="en-US" w:eastAsia="zh-CN"/>
              </w:rPr>
              <w:t>20</w:t>
            </w:r>
            <w:r>
              <w:rPr>
                <w:rFonts w:hint="eastAsia"/>
                <w:color w:val="auto"/>
                <w:sz w:val="24"/>
                <w:highlight w:val="none"/>
              </w:rPr>
              <w:t>（无量纲）</w:t>
            </w:r>
            <w:r>
              <w:rPr>
                <w:rFonts w:hint="eastAsia"/>
                <w:color w:val="auto"/>
                <w:sz w:val="24"/>
                <w:highlight w:val="none"/>
                <w:lang w:eastAsia="zh-CN"/>
              </w:rPr>
              <w:t>，</w:t>
            </w:r>
            <w:r>
              <w:rPr>
                <w:rFonts w:hint="eastAsia"/>
                <w:color w:val="auto"/>
                <w:sz w:val="24"/>
                <w:highlight w:val="none"/>
                <w:lang w:val="en-US" w:eastAsia="zh-CN"/>
              </w:rPr>
              <w:t>生产期间工作人员严禁随意进出，保持车间门窗关闭，减少空气流通，不得随意开启。通过采取以上措施，本项目可以减少异味物质无组织排放，预计本项目建设后厂界无组织排放异味物质在厂界处臭气浓度监测值小于20（无量纲），满足</w:t>
            </w:r>
            <w:r>
              <w:rPr>
                <w:rFonts w:hint="eastAsia"/>
                <w:color w:val="auto"/>
                <w:sz w:val="24"/>
                <w:highlight w:val="none"/>
              </w:rPr>
              <w:t>《恶臭污染物排放标准》（DB12/059-2018）的</w:t>
            </w:r>
            <w:r>
              <w:rPr>
                <w:rFonts w:hint="eastAsia"/>
                <w:color w:val="auto"/>
                <w:sz w:val="24"/>
                <w:highlight w:val="none"/>
                <w:lang w:val="en-US" w:eastAsia="zh-CN"/>
              </w:rPr>
              <w:t>无</w:t>
            </w:r>
            <w:r>
              <w:rPr>
                <w:rFonts w:hint="eastAsia"/>
                <w:color w:val="auto"/>
                <w:sz w:val="24"/>
                <w:highlight w:val="none"/>
              </w:rPr>
              <w:t>组织排放</w:t>
            </w:r>
            <w:r>
              <w:rPr>
                <w:rFonts w:hint="eastAsia"/>
                <w:color w:val="auto"/>
                <w:sz w:val="24"/>
                <w:highlight w:val="none"/>
                <w:lang w:val="en-US" w:eastAsia="zh-CN"/>
              </w:rPr>
              <w:t>限值</w:t>
            </w:r>
            <w:r>
              <w:rPr>
                <w:rFonts w:hint="eastAsia"/>
                <w:color w:val="auto"/>
                <w:sz w:val="24"/>
                <w:highlight w:val="none"/>
              </w:rPr>
              <w:t>要求。因此，本项目臭气浓度不会对周围环境空气造成明显不利影响</w:t>
            </w:r>
            <w:r>
              <w:rPr>
                <w:rFonts w:hint="eastAsia"/>
                <w:color w:val="auto"/>
                <w:sz w:val="24"/>
                <w:highlight w:val="none"/>
                <w:lang w:eastAsia="zh-CN"/>
              </w:rPr>
              <w:t>。</w:t>
            </w:r>
          </w:p>
          <w:p>
            <w:pPr>
              <w:pStyle w:val="73"/>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11</w:t>
            </w:r>
            <w:r>
              <w:rPr>
                <w:rFonts w:hint="default" w:ascii="Times New Roman" w:hAnsi="Times New Roman" w:cs="Times New Roman"/>
                <w:b/>
                <w:bCs/>
                <w:color w:val="auto"/>
                <w:sz w:val="21"/>
                <w:szCs w:val="21"/>
                <w:highlight w:val="none"/>
              </w:rPr>
              <w:t>本项目废气产生排放情况一览表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7"/>
              <w:gridCol w:w="1525"/>
              <w:gridCol w:w="1147"/>
              <w:gridCol w:w="36"/>
              <w:gridCol w:w="1187"/>
              <w:gridCol w:w="2374"/>
              <w:gridCol w:w="1051"/>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7" w:type="pct"/>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tc>
              <w:tc>
                <w:tcPr>
                  <w:tcW w:w="839" w:type="pct"/>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631" w:type="pct"/>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产生速率（kg/h）</w:t>
                  </w:r>
                </w:p>
              </w:tc>
              <w:tc>
                <w:tcPr>
                  <w:tcW w:w="673" w:type="pct"/>
                  <w:gridSpan w:val="2"/>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产生浓度（mg/m³）</w:t>
                  </w:r>
                </w:p>
              </w:tc>
              <w:tc>
                <w:tcPr>
                  <w:tcW w:w="1306" w:type="pct"/>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处理方式</w:t>
                  </w:r>
                </w:p>
              </w:tc>
              <w:tc>
                <w:tcPr>
                  <w:tcW w:w="578" w:type="pct"/>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排放速率（kg/h）</w:t>
                  </w:r>
                </w:p>
              </w:tc>
              <w:tc>
                <w:tcPr>
                  <w:tcW w:w="713" w:type="pct"/>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排放浓度（mg/m³）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7" w:type="pct"/>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P1</w:t>
                  </w:r>
                </w:p>
              </w:tc>
              <w:tc>
                <w:tcPr>
                  <w:tcW w:w="839" w:type="pct"/>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631"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0.07364</w:t>
                  </w:r>
                </w:p>
              </w:tc>
              <w:tc>
                <w:tcPr>
                  <w:tcW w:w="673" w:type="pct"/>
                  <w:gridSpan w:val="2"/>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12.3</w:t>
                  </w:r>
                </w:p>
              </w:tc>
              <w:tc>
                <w:tcPr>
                  <w:tcW w:w="1306"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布袋除尘器+1</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m排气筒</w:t>
                  </w:r>
                </w:p>
              </w:tc>
              <w:tc>
                <w:tcPr>
                  <w:tcW w:w="578" w:type="pct"/>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0.013927</w:t>
                  </w:r>
                </w:p>
              </w:tc>
              <w:tc>
                <w:tcPr>
                  <w:tcW w:w="713"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7" w:type="pct"/>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P2</w:t>
                  </w:r>
                </w:p>
              </w:tc>
              <w:tc>
                <w:tcPr>
                  <w:tcW w:w="839" w:type="pct"/>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631"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0.09338</w:t>
                  </w:r>
                </w:p>
              </w:tc>
              <w:tc>
                <w:tcPr>
                  <w:tcW w:w="673" w:type="pct"/>
                  <w:gridSpan w:val="2"/>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11.7</w:t>
                  </w:r>
                </w:p>
              </w:tc>
              <w:tc>
                <w:tcPr>
                  <w:tcW w:w="1306"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布袋除尘器+1</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m排气筒</w:t>
                  </w:r>
                </w:p>
              </w:tc>
              <w:tc>
                <w:tcPr>
                  <w:tcW w:w="578"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0.014914</w:t>
                  </w:r>
                </w:p>
              </w:tc>
              <w:tc>
                <w:tcPr>
                  <w:tcW w:w="713"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7" w:type="pct"/>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P3</w:t>
                  </w:r>
                </w:p>
              </w:tc>
              <w:tc>
                <w:tcPr>
                  <w:tcW w:w="839" w:type="pct"/>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631"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2.8324</w:t>
                  </w:r>
                </w:p>
              </w:tc>
              <w:tc>
                <w:tcPr>
                  <w:tcW w:w="673" w:type="pct"/>
                  <w:gridSpan w:val="2"/>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566.48</w:t>
                  </w:r>
                </w:p>
              </w:tc>
              <w:tc>
                <w:tcPr>
                  <w:tcW w:w="1306"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布袋除尘器+1</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m排气筒</w:t>
                  </w:r>
                </w:p>
              </w:tc>
              <w:tc>
                <w:tcPr>
                  <w:tcW w:w="578"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14162</w:t>
                  </w:r>
                </w:p>
              </w:tc>
              <w:tc>
                <w:tcPr>
                  <w:tcW w:w="713" w:type="pct"/>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7" w:type="pct"/>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P4</w:t>
                  </w:r>
                </w:p>
              </w:tc>
              <w:tc>
                <w:tcPr>
                  <w:tcW w:w="839" w:type="pct"/>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631"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0.09378</w:t>
                  </w:r>
                </w:p>
              </w:tc>
              <w:tc>
                <w:tcPr>
                  <w:tcW w:w="673" w:type="pct"/>
                  <w:gridSpan w:val="2"/>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11.7</w:t>
                  </w:r>
                </w:p>
              </w:tc>
              <w:tc>
                <w:tcPr>
                  <w:tcW w:w="1306"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布袋除尘器+1</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m排气筒</w:t>
                  </w:r>
                </w:p>
              </w:tc>
              <w:tc>
                <w:tcPr>
                  <w:tcW w:w="578"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0.014934</w:t>
                  </w:r>
                </w:p>
              </w:tc>
              <w:tc>
                <w:tcPr>
                  <w:tcW w:w="713"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57" w:type="pct"/>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P5</w:t>
                  </w:r>
                </w:p>
              </w:tc>
              <w:tc>
                <w:tcPr>
                  <w:tcW w:w="839" w:type="pct"/>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631"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2.8324</w:t>
                  </w:r>
                </w:p>
              </w:tc>
              <w:tc>
                <w:tcPr>
                  <w:tcW w:w="673" w:type="pct"/>
                  <w:gridSpan w:val="2"/>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566.48</w:t>
                  </w:r>
                </w:p>
              </w:tc>
              <w:tc>
                <w:tcPr>
                  <w:tcW w:w="1306"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布袋除尘器+1</w:t>
                  </w:r>
                  <w:r>
                    <w:rPr>
                      <w:rFonts w:hint="eastAsia"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m排气筒</w:t>
                  </w:r>
                </w:p>
              </w:tc>
              <w:tc>
                <w:tcPr>
                  <w:tcW w:w="578"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14162</w:t>
                  </w:r>
                </w:p>
              </w:tc>
              <w:tc>
                <w:tcPr>
                  <w:tcW w:w="713"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 w:hRule="atLeast"/>
                <w:jc w:val="center"/>
              </w:trPr>
              <w:tc>
                <w:tcPr>
                  <w:tcW w:w="257" w:type="pct"/>
                  <w:vMerge w:val="restart"/>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P</w:t>
                  </w:r>
                  <w:r>
                    <w:rPr>
                      <w:rFonts w:hint="eastAsia" w:cs="Times New Roman"/>
                      <w:color w:val="auto"/>
                      <w:sz w:val="21"/>
                      <w:szCs w:val="21"/>
                      <w:highlight w:val="none"/>
                      <w:lang w:val="en-US" w:eastAsia="zh-CN"/>
                    </w:rPr>
                    <w:t>6</w:t>
                  </w:r>
                </w:p>
              </w:tc>
              <w:tc>
                <w:tcPr>
                  <w:tcW w:w="839" w:type="pct"/>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TRVOC</w:t>
                  </w:r>
                </w:p>
              </w:tc>
              <w:tc>
                <w:tcPr>
                  <w:tcW w:w="631" w:type="pct"/>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5.23</w:t>
                  </w:r>
                </w:p>
              </w:tc>
              <w:tc>
                <w:tcPr>
                  <w:tcW w:w="1154" w:type="dxa"/>
                  <w:gridSpan w:val="2"/>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163.4</w:t>
                  </w:r>
                </w:p>
              </w:tc>
              <w:tc>
                <w:tcPr>
                  <w:tcW w:w="1306" w:type="pct"/>
                  <w:vMerge w:val="restart"/>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水帘+</w:t>
                  </w:r>
                  <w:r>
                    <w:rPr>
                      <w:rFonts w:hint="eastAsia" w:cs="Times New Roman"/>
                      <w:color w:val="auto"/>
                      <w:sz w:val="21"/>
                      <w:szCs w:val="21"/>
                      <w:highlight w:val="none"/>
                      <w:lang w:val="en-US" w:eastAsia="zh-CN"/>
                    </w:rPr>
                    <w:t xml:space="preserve">干式过滤棉 </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eastAsia="zh-CN"/>
                    </w:rPr>
                    <w:t>活性炭吸附、脱附催化燃烧</w:t>
                  </w:r>
                  <w:r>
                    <w:rPr>
                      <w:rFonts w:hint="default" w:ascii="Times New Roman" w:hAnsi="Times New Roman" w:cs="Times New Roman"/>
                      <w:color w:val="auto"/>
                      <w:sz w:val="21"/>
                      <w:szCs w:val="21"/>
                      <w:highlight w:val="none"/>
                    </w:rPr>
                    <w:t>装置+15m排气筒。</w:t>
                  </w:r>
                </w:p>
              </w:tc>
              <w:tc>
                <w:tcPr>
                  <w:tcW w:w="99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0.923</w:t>
                  </w:r>
                </w:p>
              </w:tc>
              <w:tc>
                <w:tcPr>
                  <w:tcW w:w="1222"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7" w:type="pct"/>
                  <w:vMerge w:val="continue"/>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p>
              </w:tc>
              <w:tc>
                <w:tcPr>
                  <w:tcW w:w="839" w:type="pct"/>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631" w:type="pct"/>
                  <w:shd w:val="clear" w:color="auto" w:fill="auto"/>
                  <w:vAlign w:val="center"/>
                </w:tcPr>
                <w:p>
                  <w:pPr>
                    <w:spacing w:line="240" w:lineRule="auto"/>
                    <w:ind w:firstLine="0" w:firstLineChars="0"/>
                    <w:jc w:val="center"/>
                    <w:rPr>
                      <w:rFonts w:hint="default" w:ascii="Times New Roman" w:hAnsi="Times New Roman" w:cs="Times New Roman" w:eastAsiaTheme="minorEastAsia"/>
                      <w:bCs/>
                      <w:color w:val="auto"/>
                      <w:sz w:val="21"/>
                      <w:szCs w:val="21"/>
                      <w:highlight w:val="none"/>
                      <w:lang w:val="en-US" w:eastAsia="zh-CN"/>
                    </w:rPr>
                  </w:pPr>
                  <w:r>
                    <w:rPr>
                      <w:rFonts w:hint="eastAsia" w:cs="Times New Roman" w:eastAsiaTheme="minorEastAsia"/>
                      <w:bCs/>
                      <w:color w:val="auto"/>
                      <w:sz w:val="21"/>
                      <w:szCs w:val="21"/>
                      <w:highlight w:val="none"/>
                      <w:lang w:val="en-US" w:eastAsia="zh-CN"/>
                    </w:rPr>
                    <w:t>5.23</w:t>
                  </w:r>
                </w:p>
              </w:tc>
              <w:tc>
                <w:tcPr>
                  <w:tcW w:w="1154" w:type="dxa"/>
                  <w:gridSpan w:val="2"/>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163.4</w:t>
                  </w:r>
                </w:p>
              </w:tc>
              <w:tc>
                <w:tcPr>
                  <w:tcW w:w="1306" w:type="pct"/>
                  <w:vMerge w:val="continue"/>
                  <w:shd w:val="clear" w:color="auto" w:fill="auto"/>
                  <w:vAlign w:val="center"/>
                </w:tcPr>
                <w:p>
                  <w:pPr>
                    <w:pStyle w:val="73"/>
                    <w:spacing w:line="240" w:lineRule="auto"/>
                    <w:ind w:firstLine="420"/>
                    <w:jc w:val="center"/>
                    <w:rPr>
                      <w:rFonts w:hint="default" w:ascii="Times New Roman" w:hAnsi="Times New Roman" w:cs="Times New Roman"/>
                      <w:color w:val="auto"/>
                      <w:sz w:val="21"/>
                      <w:szCs w:val="21"/>
                      <w:highlight w:val="none"/>
                    </w:rPr>
                  </w:pPr>
                </w:p>
              </w:tc>
              <w:tc>
                <w:tcPr>
                  <w:tcW w:w="991"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0.923</w:t>
                  </w:r>
                </w:p>
              </w:tc>
              <w:tc>
                <w:tcPr>
                  <w:tcW w:w="1222"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7" w:type="pct"/>
                  <w:vMerge w:val="continue"/>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p>
              </w:tc>
              <w:tc>
                <w:tcPr>
                  <w:tcW w:w="839" w:type="pct"/>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二甲苯</w:t>
                  </w:r>
                </w:p>
              </w:tc>
              <w:tc>
                <w:tcPr>
                  <w:tcW w:w="1082" w:type="dxa"/>
                  <w:shd w:val="clear" w:color="auto" w:fill="auto"/>
                  <w:vAlign w:val="center"/>
                </w:tcPr>
                <w:p>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2.733</w:t>
                  </w:r>
                </w:p>
              </w:tc>
              <w:tc>
                <w:tcPr>
                  <w:tcW w:w="1154" w:type="dxa"/>
                  <w:gridSpan w:val="2"/>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85.4</w:t>
                  </w:r>
                </w:p>
              </w:tc>
              <w:tc>
                <w:tcPr>
                  <w:tcW w:w="1306" w:type="pct"/>
                  <w:vMerge w:val="continue"/>
                  <w:shd w:val="clear" w:color="auto" w:fill="auto"/>
                  <w:vAlign w:val="center"/>
                </w:tcPr>
                <w:p>
                  <w:pPr>
                    <w:pStyle w:val="73"/>
                    <w:spacing w:line="240" w:lineRule="auto"/>
                    <w:ind w:firstLine="420"/>
                    <w:jc w:val="center"/>
                    <w:rPr>
                      <w:rFonts w:hint="default" w:ascii="Times New Roman" w:hAnsi="Times New Roman" w:cs="Times New Roman"/>
                      <w:color w:val="auto"/>
                      <w:sz w:val="21"/>
                      <w:szCs w:val="21"/>
                      <w:highlight w:val="none"/>
                    </w:rPr>
                  </w:pPr>
                </w:p>
              </w:tc>
              <w:tc>
                <w:tcPr>
                  <w:tcW w:w="991" w:type="dxa"/>
                  <w:shd w:val="clear" w:color="auto" w:fill="auto"/>
                  <w:vAlign w:val="center"/>
                </w:tcPr>
                <w:p>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0.485</w:t>
                  </w:r>
                </w:p>
              </w:tc>
              <w:tc>
                <w:tcPr>
                  <w:tcW w:w="1222" w:type="dxa"/>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7" w:type="pct"/>
                  <w:vMerge w:val="continue"/>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p>
              </w:tc>
              <w:tc>
                <w:tcPr>
                  <w:tcW w:w="839" w:type="pct"/>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乙苯</w:t>
                  </w:r>
                </w:p>
              </w:tc>
              <w:tc>
                <w:tcPr>
                  <w:tcW w:w="1082" w:type="dxa"/>
                  <w:shd w:val="clear" w:color="auto" w:fill="auto"/>
                  <w:vAlign w:val="center"/>
                </w:tcPr>
                <w:p>
                  <w:pPr>
                    <w:jc w:val="center"/>
                    <w:rPr>
                      <w:rFonts w:hint="default" w:ascii="Times New Roman" w:hAnsi="Times New Roman" w:cs="Times New Roman" w:eastAsiaTheme="minorEastAsia"/>
                      <w:bCs/>
                      <w:color w:val="auto"/>
                      <w:sz w:val="21"/>
                      <w:szCs w:val="21"/>
                      <w:highlight w:val="none"/>
                      <w:lang w:val="en-US"/>
                    </w:rPr>
                  </w:pPr>
                  <w:r>
                    <w:rPr>
                      <w:rFonts w:hint="eastAsia" w:cs="Times New Roman"/>
                      <w:color w:val="auto"/>
                      <w:sz w:val="21"/>
                      <w:szCs w:val="21"/>
                      <w:highlight w:val="none"/>
                      <w:lang w:val="en-US" w:eastAsia="zh-CN"/>
                    </w:rPr>
                    <w:t>0.589</w:t>
                  </w:r>
                </w:p>
              </w:tc>
              <w:tc>
                <w:tcPr>
                  <w:tcW w:w="1154" w:type="dxa"/>
                  <w:gridSpan w:val="2"/>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06" w:type="pct"/>
                  <w:vMerge w:val="continue"/>
                  <w:shd w:val="clear" w:color="auto" w:fill="auto"/>
                  <w:vAlign w:val="center"/>
                </w:tcPr>
                <w:p>
                  <w:pPr>
                    <w:pStyle w:val="73"/>
                    <w:spacing w:line="240" w:lineRule="auto"/>
                    <w:ind w:firstLine="420"/>
                    <w:jc w:val="center"/>
                    <w:rPr>
                      <w:rFonts w:hint="default" w:ascii="Times New Roman" w:hAnsi="Times New Roman" w:cs="Times New Roman"/>
                      <w:color w:val="auto"/>
                      <w:sz w:val="21"/>
                      <w:szCs w:val="21"/>
                      <w:highlight w:val="none"/>
                    </w:rPr>
                  </w:pPr>
                </w:p>
              </w:tc>
              <w:tc>
                <w:tcPr>
                  <w:tcW w:w="991" w:type="dxa"/>
                  <w:shd w:val="clear" w:color="auto" w:fill="auto"/>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0.104</w:t>
                  </w:r>
                </w:p>
              </w:tc>
              <w:tc>
                <w:tcPr>
                  <w:tcW w:w="1222" w:type="dxa"/>
                  <w:shd w:val="clear" w:color="auto" w:fill="auto"/>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7" w:type="pct"/>
                  <w:vMerge w:val="continue"/>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p>
              </w:tc>
              <w:tc>
                <w:tcPr>
                  <w:tcW w:w="839" w:type="pct"/>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臭气浓度</w:t>
                  </w:r>
                </w:p>
              </w:tc>
              <w:tc>
                <w:tcPr>
                  <w:tcW w:w="1304" w:type="pct"/>
                  <w:gridSpan w:val="3"/>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306" w:type="pct"/>
                  <w:shd w:val="clear" w:color="auto" w:fill="auto"/>
                  <w:vAlign w:val="center"/>
                </w:tcPr>
                <w:p>
                  <w:pPr>
                    <w:pStyle w:val="73"/>
                    <w:spacing w:line="240" w:lineRule="auto"/>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水帘+</w:t>
                  </w:r>
                  <w:r>
                    <w:rPr>
                      <w:rFonts w:hint="eastAsia" w:cs="Times New Roman"/>
                      <w:color w:val="auto"/>
                      <w:sz w:val="21"/>
                      <w:szCs w:val="21"/>
                      <w:highlight w:val="none"/>
                      <w:lang w:val="en-US" w:eastAsia="zh-CN"/>
                    </w:rPr>
                    <w:t>干式过滤棉+</w:t>
                  </w:r>
                  <w:r>
                    <w:rPr>
                      <w:rFonts w:hint="eastAsia" w:cs="Times New Roman"/>
                      <w:color w:val="auto"/>
                      <w:sz w:val="21"/>
                      <w:szCs w:val="21"/>
                      <w:highlight w:val="none"/>
                      <w:lang w:eastAsia="zh-CN"/>
                    </w:rPr>
                    <w:t>活性炭吸附、脱附催化燃烧</w:t>
                  </w:r>
                  <w:r>
                    <w:rPr>
                      <w:rFonts w:hint="default" w:ascii="Times New Roman" w:hAnsi="Times New Roman" w:cs="Times New Roman"/>
                      <w:color w:val="auto"/>
                      <w:sz w:val="21"/>
                      <w:szCs w:val="21"/>
                      <w:highlight w:val="none"/>
                    </w:rPr>
                    <w:t>装置+15m排气筒。</w:t>
                  </w:r>
                </w:p>
              </w:tc>
              <w:tc>
                <w:tcPr>
                  <w:tcW w:w="1291" w:type="pct"/>
                  <w:gridSpan w:val="2"/>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416</w:t>
                  </w:r>
                  <w:r>
                    <w:rPr>
                      <w:rFonts w:hint="default" w:ascii="Times New Roman" w:hAnsi="Times New Roman" w:cs="Times New Roman"/>
                      <w:color w:val="auto"/>
                      <w:sz w:val="21"/>
                      <w:szCs w:val="21"/>
                      <w:highlight w:val="none"/>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7" w:type="pct"/>
                  <w:vMerge w:val="restar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生产车间</w:t>
                  </w:r>
                  <w:r>
                    <w:rPr>
                      <w:rFonts w:hint="eastAsia" w:cs="Times New Roman"/>
                      <w:color w:val="auto"/>
                      <w:sz w:val="21"/>
                      <w:szCs w:val="21"/>
                      <w:highlight w:val="none"/>
                      <w:lang w:val="en-US" w:eastAsia="zh-CN"/>
                    </w:rPr>
                    <w:t>1、生产车间2</w:t>
                  </w:r>
                </w:p>
              </w:tc>
              <w:tc>
                <w:tcPr>
                  <w:tcW w:w="839" w:type="pct"/>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631"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0.33438</w:t>
                  </w:r>
                </w:p>
              </w:tc>
              <w:tc>
                <w:tcPr>
                  <w:tcW w:w="673" w:type="pct"/>
                  <w:gridSpan w:val="2"/>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06" w:type="pct"/>
                  <w:vMerge w:val="restart"/>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78"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0.33438</w:t>
                  </w:r>
                </w:p>
              </w:tc>
              <w:tc>
                <w:tcPr>
                  <w:tcW w:w="713"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7" w:type="pct"/>
                  <w:vMerge w:val="continue"/>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p>
              </w:tc>
              <w:tc>
                <w:tcPr>
                  <w:tcW w:w="839"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631"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0.1569</w:t>
                  </w:r>
                </w:p>
              </w:tc>
              <w:tc>
                <w:tcPr>
                  <w:tcW w:w="673" w:type="pct"/>
                  <w:gridSpan w:val="2"/>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06" w:type="pct"/>
                  <w:vMerge w:val="continue"/>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991" w:type="dxa"/>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0.1569</w:t>
                  </w:r>
                </w:p>
              </w:tc>
              <w:tc>
                <w:tcPr>
                  <w:tcW w:w="713" w:type="pct"/>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7" w:type="pct"/>
                  <w:vMerge w:val="continue"/>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p>
              </w:tc>
              <w:tc>
                <w:tcPr>
                  <w:tcW w:w="839" w:type="pct"/>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二甲苯</w:t>
                  </w:r>
                </w:p>
              </w:tc>
              <w:tc>
                <w:tcPr>
                  <w:tcW w:w="631"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8</w:t>
                  </w:r>
                  <w:r>
                    <w:rPr>
                      <w:rFonts w:hint="eastAsia" w:ascii="Times New Roman" w:hAnsi="Times New Roman" w:eastAsia="宋体" w:cs="Times New Roman"/>
                      <w:color w:val="auto"/>
                      <w:sz w:val="21"/>
                      <w:szCs w:val="21"/>
                      <w:highlight w:val="none"/>
                      <w:lang w:val="en-US" w:eastAsia="zh-CN"/>
                    </w:rPr>
                    <w:t>2</w:t>
                  </w:r>
                </w:p>
              </w:tc>
              <w:tc>
                <w:tcPr>
                  <w:tcW w:w="673" w:type="pct"/>
                  <w:gridSpan w:val="2"/>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06" w:type="pct"/>
                  <w:vMerge w:val="continue"/>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991" w:type="dxa"/>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8</w:t>
                  </w:r>
                  <w:r>
                    <w:rPr>
                      <w:rFonts w:hint="eastAsia" w:ascii="Times New Roman" w:hAnsi="Times New Roman" w:eastAsia="宋体" w:cs="Times New Roman"/>
                      <w:color w:val="auto"/>
                      <w:sz w:val="21"/>
                      <w:szCs w:val="21"/>
                      <w:highlight w:val="none"/>
                      <w:lang w:val="en-US" w:eastAsia="zh-CN"/>
                    </w:rPr>
                    <w:t>2</w:t>
                  </w:r>
                </w:p>
              </w:tc>
              <w:tc>
                <w:tcPr>
                  <w:tcW w:w="713" w:type="pct"/>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7" w:type="pct"/>
                  <w:vMerge w:val="continue"/>
                  <w:shd w:val="clear" w:color="auto" w:fill="auto"/>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p>
              </w:tc>
              <w:tc>
                <w:tcPr>
                  <w:tcW w:w="839"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臭气浓度</w:t>
                  </w:r>
                </w:p>
              </w:tc>
              <w:tc>
                <w:tcPr>
                  <w:tcW w:w="1304" w:type="pct"/>
                  <w:gridSpan w:val="3"/>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06" w:type="pct"/>
                  <w:vMerge w:val="continue"/>
                  <w:shd w:val="clear" w:color="auto" w:fill="auto"/>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p>
              </w:tc>
              <w:tc>
                <w:tcPr>
                  <w:tcW w:w="1291" w:type="pct"/>
                  <w:gridSpan w:val="2"/>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57" w:type="pct"/>
                  <w:shd w:val="clear" w:color="auto" w:fill="auto"/>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生产车间3</w:t>
                  </w:r>
                </w:p>
              </w:tc>
              <w:tc>
                <w:tcPr>
                  <w:tcW w:w="839" w:type="pct"/>
                  <w:shd w:val="clear" w:color="auto" w:fill="auto"/>
                  <w:vAlign w:val="center"/>
                </w:tcPr>
                <w:p>
                  <w:pPr>
                    <w:pStyle w:val="73"/>
                    <w:spacing w:line="240" w:lineRule="auto"/>
                    <w:ind w:firstLine="0" w:firstLineChars="0"/>
                    <w:jc w:val="center"/>
                    <w:rPr>
                      <w:rFonts w:hint="eastAsia" w:cs="Times New Roman"/>
                      <w:color w:val="auto"/>
                      <w:sz w:val="21"/>
                      <w:szCs w:val="21"/>
                      <w:highlight w:val="none"/>
                      <w:lang w:val="en-US" w:eastAsia="zh-CN"/>
                    </w:rPr>
                  </w:pPr>
                  <w:r>
                    <w:rPr>
                      <w:rFonts w:hint="default" w:ascii="Times New Roman" w:hAnsi="Times New Roman" w:cs="Times New Roman"/>
                      <w:color w:val="auto"/>
                      <w:sz w:val="21"/>
                      <w:szCs w:val="21"/>
                      <w:highlight w:val="none"/>
                    </w:rPr>
                    <w:t>颗粒物</w:t>
                  </w:r>
                </w:p>
              </w:tc>
              <w:tc>
                <w:tcPr>
                  <w:tcW w:w="651" w:type="pct"/>
                  <w:gridSpan w:val="2"/>
                  <w:shd w:val="clear" w:color="auto" w:fill="auto"/>
                  <w:vAlign w:val="center"/>
                </w:tcPr>
                <w:p>
                  <w:pPr>
                    <w:pStyle w:val="73"/>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0.2154</w:t>
                  </w:r>
                </w:p>
              </w:tc>
              <w:tc>
                <w:tcPr>
                  <w:tcW w:w="653" w:type="pct"/>
                  <w:shd w:val="clear" w:color="auto" w:fill="auto"/>
                  <w:vAlign w:val="center"/>
                </w:tcPr>
                <w:p>
                  <w:pPr>
                    <w:pStyle w:val="73"/>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306" w:type="pct"/>
                  <w:shd w:val="clear" w:color="auto" w:fill="auto"/>
                  <w:vAlign w:val="center"/>
                </w:tcPr>
                <w:p>
                  <w:pPr>
                    <w:pStyle w:val="73"/>
                    <w:spacing w:line="240" w:lineRule="auto"/>
                    <w:ind w:left="0" w:leftChars="0" w:firstLine="0" w:firstLineChars="0"/>
                    <w:jc w:val="center"/>
                    <w:rPr>
                      <w:rFonts w:hint="default"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w:t>
                  </w:r>
                </w:p>
              </w:tc>
              <w:tc>
                <w:tcPr>
                  <w:tcW w:w="578" w:type="pct"/>
                  <w:shd w:val="clear" w:color="auto" w:fill="auto"/>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0.2154</w:t>
                  </w:r>
                </w:p>
              </w:tc>
              <w:tc>
                <w:tcPr>
                  <w:tcW w:w="713" w:type="pct"/>
                  <w:shd w:val="clear" w:color="auto" w:fill="auto"/>
                  <w:vAlign w:val="center"/>
                </w:tcPr>
                <w:p>
                  <w:pPr>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pStyle w:val="73"/>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1.2废气治理设施可行性分析</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（1）排气筒高度符合性分析                </w:t>
            </w:r>
          </w:p>
          <w:p>
            <w:pPr>
              <w:pStyle w:val="16"/>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根据《工业企业挥发性有机物排放控制标准》（DB12</w:t>
            </w:r>
            <w:r>
              <w:rPr>
                <w:rFonts w:hint="eastAsia" w:cs="Times New Roman"/>
                <w:color w:val="auto"/>
                <w:highlight w:val="none"/>
                <w:lang w:val="en-US" w:eastAsia="zh-CN"/>
              </w:rPr>
              <w:t>/</w:t>
            </w:r>
            <w:r>
              <w:rPr>
                <w:rFonts w:hint="default" w:ascii="Times New Roman" w:hAnsi="Times New Roman" w:cs="Times New Roman"/>
                <w:color w:val="auto"/>
                <w:highlight w:val="none"/>
              </w:rPr>
              <w:t>524-2020）规定：排气筒高度不低于15m，P</w:t>
            </w:r>
            <w:r>
              <w:rPr>
                <w:rFonts w:hint="eastAsia" w:cs="Times New Roman"/>
                <w:color w:val="auto"/>
                <w:highlight w:val="none"/>
                <w:lang w:val="en-US" w:eastAsia="zh-CN"/>
              </w:rPr>
              <w:t>6</w:t>
            </w:r>
            <w:r>
              <w:rPr>
                <w:rFonts w:hint="default" w:ascii="Times New Roman" w:hAnsi="Times New Roman" w:cs="Times New Roman"/>
                <w:color w:val="auto"/>
                <w:highlight w:val="none"/>
              </w:rPr>
              <w:t>高度为15m，能满足不低于15m的要求。</w:t>
            </w:r>
          </w:p>
          <w:p>
            <w:pPr>
              <w:pStyle w:val="16"/>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根据《大气污染物综合排放标准》（GB16297-1996），排气筒高度不低于15m，P1</w:t>
            </w:r>
            <w:r>
              <w:rPr>
                <w:rFonts w:hint="eastAsia" w:cs="Times New Roman"/>
                <w:color w:val="auto"/>
                <w:highlight w:val="none"/>
                <w:lang w:val="en-US" w:eastAsia="zh-CN"/>
              </w:rPr>
              <w:t>-P5</w:t>
            </w:r>
            <w:r>
              <w:rPr>
                <w:rFonts w:hint="default" w:ascii="Times New Roman" w:hAnsi="Times New Roman" w:cs="Times New Roman"/>
                <w:color w:val="auto"/>
                <w:highlight w:val="none"/>
              </w:rPr>
              <w:t>高度为1</w:t>
            </w:r>
            <w:r>
              <w:rPr>
                <w:rFonts w:hint="eastAsia" w:cs="Times New Roman"/>
                <w:color w:val="auto"/>
                <w:highlight w:val="none"/>
                <w:lang w:val="en-US" w:eastAsia="zh-CN"/>
              </w:rPr>
              <w:t>8</w:t>
            </w:r>
            <w:r>
              <w:rPr>
                <w:rFonts w:hint="default" w:ascii="Times New Roman" w:hAnsi="Times New Roman" w:cs="Times New Roman"/>
                <w:color w:val="auto"/>
                <w:highlight w:val="none"/>
              </w:rPr>
              <w:t>m，能满足不低于15m的要求，本项目排气筒周围200m范围内最高建筑为</w:t>
            </w:r>
            <w:r>
              <w:rPr>
                <w:rFonts w:hint="eastAsia" w:cs="Times New Roman"/>
                <w:color w:val="auto"/>
                <w:highlight w:val="none"/>
                <w:lang w:val="en-US" w:eastAsia="zh-CN"/>
              </w:rPr>
              <w:t>本项目车间</w:t>
            </w:r>
            <w:r>
              <w:rPr>
                <w:rFonts w:hint="default" w:ascii="Times New Roman" w:hAnsi="Times New Roman" w:cs="Times New Roman"/>
                <w:color w:val="auto"/>
                <w:highlight w:val="none"/>
              </w:rPr>
              <w:t>，高度为</w:t>
            </w:r>
            <w:r>
              <w:rPr>
                <w:rFonts w:hint="eastAsia" w:cs="Times New Roman"/>
                <w:color w:val="auto"/>
                <w:highlight w:val="none"/>
                <w:lang w:val="en-US" w:eastAsia="zh-CN"/>
              </w:rPr>
              <w:t>12</w:t>
            </w:r>
            <w:r>
              <w:rPr>
                <w:rFonts w:hint="default" w:ascii="Times New Roman" w:hAnsi="Times New Roman" w:cs="Times New Roman"/>
                <w:color w:val="auto"/>
                <w:highlight w:val="none"/>
              </w:rPr>
              <w:t>m，排气筒P1</w:t>
            </w:r>
            <w:r>
              <w:rPr>
                <w:rFonts w:hint="eastAsia" w:cs="Times New Roman"/>
                <w:color w:val="auto"/>
                <w:highlight w:val="none"/>
                <w:lang w:val="en-US" w:eastAsia="zh-CN"/>
              </w:rPr>
              <w:t>-P6</w:t>
            </w:r>
            <w:r>
              <w:rPr>
                <w:rFonts w:hint="default" w:ascii="Times New Roman" w:hAnsi="Times New Roman" w:cs="Times New Roman"/>
                <w:color w:val="auto"/>
                <w:highlight w:val="none"/>
              </w:rPr>
              <w:t>高度满足高于200m范围内最高建筑5m以上要求。</w:t>
            </w:r>
          </w:p>
          <w:p>
            <w:pPr>
              <w:pStyle w:val="65"/>
              <w:widowControl/>
              <w:spacing w:line="360" w:lineRule="auto"/>
              <w:ind w:left="567" w:firstLine="0" w:firstLineChars="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（2）排气筒等效分析</w:t>
            </w:r>
          </w:p>
          <w:p>
            <w:pPr>
              <w:pStyle w:val="65"/>
              <w:widowControl/>
              <w:spacing w:line="360" w:lineRule="auto"/>
              <w:ind w:firstLine="480"/>
              <w:jc w:val="left"/>
              <w:rPr>
                <w:rFonts w:hint="eastAsia" w:eastAsia="宋体" w:cs="Times New Roman"/>
                <w:color w:val="auto"/>
                <w:highlight w:val="none"/>
                <w:lang w:val="en-US" w:eastAsia="zh-CN"/>
              </w:rPr>
            </w:pPr>
            <w:r>
              <w:rPr>
                <w:rFonts w:hint="default" w:ascii="Times New Roman" w:hAnsi="Times New Roman" w:cs="Times New Roman"/>
                <w:color w:val="auto"/>
                <w:highlight w:val="none"/>
              </w:rPr>
              <w:t>根据调查，本项目排放颗粒物排气筒为P1、P2</w:t>
            </w:r>
            <w:r>
              <w:rPr>
                <w:rFonts w:hint="eastAsia" w:cs="Times New Roman"/>
                <w:color w:val="auto"/>
                <w:highlight w:val="none"/>
                <w:lang w:eastAsia="zh-CN"/>
              </w:rPr>
              <w:t>、</w:t>
            </w:r>
            <w:r>
              <w:rPr>
                <w:rFonts w:hint="eastAsia" w:cs="Times New Roman"/>
                <w:color w:val="auto"/>
                <w:highlight w:val="none"/>
                <w:lang w:val="en-US" w:eastAsia="zh-CN"/>
              </w:rPr>
              <w:t>P3、P4、P5</w:t>
            </w:r>
            <w:r>
              <w:rPr>
                <w:rFonts w:hint="default" w:ascii="Times New Roman" w:hAnsi="Times New Roman" w:cs="Times New Roman"/>
                <w:color w:val="auto"/>
                <w:highlight w:val="none"/>
              </w:rPr>
              <w:t>，排气筒P1</w:t>
            </w:r>
            <w:r>
              <w:rPr>
                <w:rFonts w:hint="eastAsia" w:cs="Times New Roman"/>
                <w:color w:val="auto"/>
                <w:highlight w:val="none"/>
                <w:lang w:val="en-US" w:eastAsia="zh-CN"/>
              </w:rPr>
              <w:t>—P5任何两根排气筒</w:t>
            </w:r>
            <w:r>
              <w:rPr>
                <w:rFonts w:hint="default" w:ascii="Times New Roman" w:hAnsi="Times New Roman" w:cs="Times New Roman"/>
                <w:color w:val="auto"/>
                <w:highlight w:val="none"/>
              </w:rPr>
              <w:t>之间距</w:t>
            </w:r>
            <w:r>
              <w:rPr>
                <w:rFonts w:hint="eastAsia" w:cs="Times New Roman"/>
                <w:color w:val="auto"/>
                <w:highlight w:val="none"/>
                <w:lang w:val="en-US" w:eastAsia="zh-CN"/>
              </w:rPr>
              <w:t>均大</w:t>
            </w:r>
            <w:r>
              <w:rPr>
                <w:rFonts w:hint="default" w:ascii="Times New Roman" w:hAnsi="Times New Roman" w:cs="Times New Roman"/>
                <w:color w:val="auto"/>
                <w:highlight w:val="none"/>
              </w:rPr>
              <w:t>于排气筒高度之和，</w:t>
            </w:r>
            <w:r>
              <w:rPr>
                <w:rFonts w:hint="eastAsia" w:cs="Times New Roman"/>
                <w:color w:val="auto"/>
                <w:highlight w:val="none"/>
                <w:lang w:val="en-US" w:eastAsia="zh-CN"/>
              </w:rPr>
              <w:t>因此不</w:t>
            </w:r>
            <w:r>
              <w:rPr>
                <w:rFonts w:hint="default" w:ascii="Times New Roman" w:hAnsi="Times New Roman" w:cs="Times New Roman"/>
                <w:color w:val="auto"/>
                <w:highlight w:val="none"/>
              </w:rPr>
              <w:t>需要进行等效排气筒分析</w:t>
            </w:r>
            <w:r>
              <w:rPr>
                <w:rFonts w:hint="eastAsia" w:cs="Times New Roman"/>
                <w:color w:val="auto"/>
                <w:highlight w:val="none"/>
                <w:lang w:eastAsia="zh-CN"/>
              </w:rPr>
              <w:t>。</w:t>
            </w:r>
          </w:p>
          <w:p>
            <w:pPr>
              <w:pStyle w:val="65"/>
              <w:widowControl/>
              <w:spacing w:line="360" w:lineRule="auto"/>
              <w:ind w:left="567" w:firstLine="0" w:firstLineChars="0"/>
              <w:jc w:val="left"/>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（3）</w:t>
            </w:r>
            <w:r>
              <w:rPr>
                <w:rFonts w:hint="default" w:ascii="Times New Roman" w:hAnsi="Times New Roman" w:cs="Times New Roman"/>
                <w:color w:val="auto"/>
                <w:szCs w:val="24"/>
                <w:highlight w:val="none"/>
              </w:rPr>
              <w:t>环保设备合理性分析</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rPr>
              <w:t>排污许可证申请与核发技术规范 总则</w:t>
            </w:r>
            <w:r>
              <w:rPr>
                <w:rFonts w:hint="default" w:ascii="Times New Roman" w:hAnsi="Times New Roman" w:cs="Times New Roman"/>
                <w:color w:val="auto"/>
                <w:highlight w:val="none"/>
              </w:rPr>
              <w:t>》（HJ1122-2020），“废气污染治理设施工艺包括除尘设施（袋式除尘器、电除尘器、电袋复合除尘器、其他）、有机废气收集治理设施（焚烧、吸附、催化分解、其他）、恶臭治理设施（水洗、吸收、氧化、活性炭吸附、过滤、其他）等”。</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本项目的废气处理设施为布袋除尘器和</w:t>
            </w:r>
            <w:r>
              <w:rPr>
                <w:rFonts w:hint="eastAsia" w:cs="Times New Roman"/>
                <w:color w:val="auto"/>
                <w:szCs w:val="32"/>
                <w:highlight w:val="none"/>
                <w:lang w:eastAsia="zh-CN"/>
              </w:rPr>
              <w:t>活性炭吸附、脱附催化燃烧</w:t>
            </w:r>
            <w:r>
              <w:rPr>
                <w:rFonts w:hint="default" w:ascii="Times New Roman" w:hAnsi="Times New Roman" w:cs="Times New Roman"/>
                <w:color w:val="auto"/>
                <w:szCs w:val="32"/>
                <w:highlight w:val="none"/>
              </w:rPr>
              <w:t>装置</w:t>
            </w:r>
            <w:r>
              <w:rPr>
                <w:rFonts w:hint="default" w:ascii="Times New Roman" w:hAnsi="Times New Roman" w:cs="Times New Roman"/>
                <w:color w:val="auto"/>
                <w:highlight w:val="none"/>
              </w:rPr>
              <w:t>，均为废气治理可行性技术，因此，本项目新建废气治理设施可行。</w:t>
            </w:r>
          </w:p>
          <w:p>
            <w:pPr>
              <w:spacing w:line="360" w:lineRule="auto"/>
              <w:ind w:firstLine="480" w:firstLineChars="200"/>
              <w:jc w:val="left"/>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①</w:t>
            </w:r>
            <w:r>
              <w:rPr>
                <w:rFonts w:hint="eastAsia" w:cs="Times New Roman"/>
                <w:color w:val="auto"/>
                <w:highlight w:val="none"/>
                <w:lang w:eastAsia="zh-CN"/>
              </w:rPr>
              <w:t>活性炭吸附、脱附催化燃烧</w:t>
            </w:r>
            <w:r>
              <w:rPr>
                <w:rFonts w:hint="default" w:ascii="Times New Roman" w:hAnsi="Times New Roman" w:cs="Times New Roman"/>
                <w:color w:val="auto"/>
                <w:highlight w:val="none"/>
              </w:rPr>
              <w:t>装置</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本项目调漆、喷漆、晾干工序会产生有机废气，调漆、喷漆、晾干工序在密闭空间内进行，</w:t>
            </w:r>
            <w:r>
              <w:rPr>
                <w:rFonts w:hint="default" w:ascii="Times New Roman" w:hAnsi="Times New Roman" w:cs="Times New Roman"/>
                <w:color w:val="auto"/>
                <w:szCs w:val="32"/>
                <w:highlight w:val="none"/>
              </w:rPr>
              <w:t>收集效率</w:t>
            </w:r>
            <w:r>
              <w:rPr>
                <w:rFonts w:hint="eastAsia" w:cs="Times New Roman"/>
                <w:color w:val="auto"/>
                <w:szCs w:val="32"/>
                <w:highlight w:val="none"/>
                <w:lang w:val="en-US" w:eastAsia="zh-CN"/>
              </w:rPr>
              <w:t>97</w:t>
            </w:r>
            <w:r>
              <w:rPr>
                <w:rFonts w:hint="default" w:ascii="Times New Roman" w:hAnsi="Times New Roman" w:cs="Times New Roman"/>
                <w:color w:val="auto"/>
                <w:szCs w:val="32"/>
                <w:highlight w:val="none"/>
              </w:rPr>
              <w:t>%，收集通过管道进入“</w:t>
            </w:r>
            <w:r>
              <w:rPr>
                <w:rFonts w:hint="eastAsia" w:cs="Times New Roman"/>
                <w:color w:val="auto"/>
                <w:szCs w:val="32"/>
                <w:highlight w:val="none"/>
                <w:lang w:eastAsia="zh-CN"/>
              </w:rPr>
              <w:t>活性炭吸附、脱附催化燃烧</w:t>
            </w:r>
            <w:r>
              <w:rPr>
                <w:rFonts w:hint="default" w:ascii="Times New Roman" w:hAnsi="Times New Roman" w:cs="Times New Roman"/>
                <w:color w:val="auto"/>
                <w:szCs w:val="32"/>
                <w:highlight w:val="none"/>
              </w:rPr>
              <w:t>装置”进行处理</w:t>
            </w:r>
            <w:r>
              <w:rPr>
                <w:rFonts w:hint="default" w:ascii="Times New Roman" w:hAnsi="Times New Roman" w:cs="Times New Roman"/>
                <w:color w:val="auto"/>
                <w:highlight w:val="none"/>
              </w:rPr>
              <w:t>。</w:t>
            </w:r>
          </w:p>
          <w:p>
            <w:pPr>
              <w:pStyle w:val="92"/>
              <w:ind w:firstLine="480"/>
              <w:jc w:val="center"/>
              <w:rPr>
                <w:rFonts w:hint="default" w:ascii="Times New Roman" w:hAnsi="Times New Roman" w:cs="Times New Roman" w:eastAsiaTheme="minorEastAsia"/>
                <w:color w:val="auto"/>
                <w:highlight w:val="none"/>
              </w:rPr>
            </w:pPr>
            <w:r>
              <w:rPr>
                <w:rFonts w:hint="default" w:ascii="Times New Roman" w:hAnsi="Times New Roman" w:cs="Times New Roman"/>
                <w:color w:val="auto"/>
                <w:highlight w:val="none"/>
              </w:rPr>
              <w:drawing>
                <wp:inline distT="0" distB="0" distL="0" distR="0">
                  <wp:extent cx="4152265" cy="1957705"/>
                  <wp:effectExtent l="0" t="0" r="63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stretch>
                            <a:fillRect/>
                          </a:stretch>
                        </pic:blipFill>
                        <pic:spPr>
                          <a:xfrm>
                            <a:off x="0" y="0"/>
                            <a:ext cx="4150497" cy="1957207"/>
                          </a:xfrm>
                          <a:prstGeom prst="rect">
                            <a:avLst/>
                          </a:prstGeom>
                        </pic:spPr>
                      </pic:pic>
                    </a:graphicData>
                  </a:graphic>
                </wp:inline>
              </w:drawing>
            </w:r>
          </w:p>
          <w:p>
            <w:pPr>
              <w:spacing w:line="360" w:lineRule="auto"/>
              <w:ind w:firstLine="482" w:firstLineChars="20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图4-</w:t>
            </w:r>
            <w:r>
              <w:rPr>
                <w:rFonts w:hint="eastAsia" w:cs="Times New Roman"/>
                <w:b/>
                <w:color w:val="auto"/>
                <w:highlight w:val="none"/>
                <w:lang w:val="en-US" w:eastAsia="zh-CN"/>
              </w:rPr>
              <w:t>3</w:t>
            </w:r>
            <w:r>
              <w:rPr>
                <w:rFonts w:hint="default" w:ascii="Times New Roman" w:hAnsi="Times New Roman" w:cs="Times New Roman"/>
                <w:b/>
                <w:color w:val="auto"/>
                <w:highlight w:val="none"/>
              </w:rPr>
              <w:t>催化燃烧装置示意图</w:t>
            </w:r>
          </w:p>
          <w:p>
            <w:pPr>
              <w:autoSpaceDE w:val="0"/>
              <w:autoSpaceDN w:val="0"/>
              <w:adjustRightInd w:val="0"/>
              <w:spacing w:line="360" w:lineRule="auto"/>
              <w:ind w:firstLine="480" w:firstLineChars="20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本项目利用蜂窝状活性炭比表面积大、多微孔、吸附能力强的吸附特性，活性炭吸附有机废气是一种最为有效的工业处理手段。蜂窝状活性炭具有性能稳定、抗腐蚀和耐高速气流冲击的优点，用其对有机废气进行吸附可使净化效率高达85%以上，活性炭吸附饱和后用热空气脱附再生使活性炭重新投入使用；通过控制脱附过程气流量可将废气浓度浓缩5~10倍。脱附气流经催化净化装置内设置的电加热装置加热至250</w:t>
            </w:r>
            <w:r>
              <w:rPr>
                <w:rFonts w:hint="default" w:ascii="Times New Roman" w:hAnsi="Times New Roman" w:cs="Times New Roman"/>
                <w:color w:val="auto"/>
                <w:highlight w:val="none"/>
              </w:rPr>
              <w:t>℃</w:t>
            </w:r>
            <w:r>
              <w:rPr>
                <w:rFonts w:hint="default" w:ascii="Times New Roman" w:hAnsi="Times New Roman" w:cs="Times New Roman" w:eastAsiaTheme="minorEastAsia"/>
                <w:color w:val="auto"/>
                <w:highlight w:val="none"/>
              </w:rPr>
              <w:t>~400</w:t>
            </w:r>
            <w:r>
              <w:rPr>
                <w:rFonts w:hint="default" w:ascii="Times New Roman" w:hAnsi="Times New Roman" w:cs="Times New Roman"/>
                <w:color w:val="auto"/>
                <w:highlight w:val="none"/>
              </w:rPr>
              <w:t>℃</w:t>
            </w:r>
            <w:r>
              <w:rPr>
                <w:rFonts w:hint="default" w:ascii="Times New Roman" w:hAnsi="Times New Roman" w:cs="Times New Roman" w:eastAsiaTheme="minorEastAsia"/>
                <w:color w:val="auto"/>
                <w:highlight w:val="none"/>
              </w:rPr>
              <w:t>，在催化剂（主要成分陶瓷、铂、钯）作用下氧化，催化氧化过程净化效率可达97%以上，氧化反应生成二氧化碳和水蒸气，并释放出大量的热量，该热量通过催化净化装置内的热交换器，一部分用来加热脱附出的高浓度废气，另一部分作为</w:t>
            </w:r>
            <w:r>
              <w:rPr>
                <w:rFonts w:hint="eastAsia" w:cs="Times New Roman" w:eastAsiaTheme="minorEastAsia"/>
                <w:color w:val="auto"/>
                <w:highlight w:val="none"/>
                <w:lang w:eastAsia="zh-CN"/>
              </w:rPr>
              <w:t>活性炭</w:t>
            </w:r>
            <w:r>
              <w:rPr>
                <w:rFonts w:hint="default" w:ascii="Times New Roman" w:hAnsi="Times New Roman" w:cs="Times New Roman" w:eastAsiaTheme="minorEastAsia"/>
                <w:color w:val="auto"/>
                <w:highlight w:val="none"/>
              </w:rPr>
              <w:t xml:space="preserve">脱附气体使用。整套吸附和催化氧化过程采用PLC电气自动控制。   </w:t>
            </w:r>
          </w:p>
          <w:p>
            <w:pPr>
              <w:autoSpaceDE w:val="0"/>
              <w:autoSpaceDN w:val="0"/>
              <w:adjustRightInd w:val="0"/>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eastAsiaTheme="minorEastAsia"/>
                <w:color w:val="auto"/>
                <w:highlight w:val="none"/>
              </w:rPr>
              <w:t>根据设计单位提供资料，本项目所采用的</w:t>
            </w:r>
            <w:r>
              <w:rPr>
                <w:rFonts w:hint="default" w:ascii="Times New Roman" w:hAnsi="Times New Roman" w:cs="Times New Roman"/>
                <w:color w:val="auto"/>
                <w:highlight w:val="none"/>
              </w:rPr>
              <w:t>活性炭吸附、脱附催化燃烧装置工艺成熟，</w:t>
            </w:r>
            <w:r>
              <w:rPr>
                <w:rFonts w:hint="default" w:ascii="Times New Roman" w:hAnsi="Times New Roman" w:cs="Times New Roman"/>
                <w:bCs/>
                <w:color w:val="auto"/>
                <w:highlight w:val="none"/>
              </w:rPr>
              <w:t>根据设备商提供的运行经验，每个</w:t>
            </w:r>
            <w:r>
              <w:rPr>
                <w:rFonts w:hint="eastAsia" w:cs="Times New Roman"/>
                <w:bCs/>
                <w:color w:val="auto"/>
                <w:highlight w:val="none"/>
                <w:lang w:eastAsia="zh-CN"/>
              </w:rPr>
              <w:t>炭</w:t>
            </w:r>
            <w:r>
              <w:rPr>
                <w:rFonts w:hint="default" w:ascii="Times New Roman" w:hAnsi="Times New Roman" w:cs="Times New Roman"/>
                <w:bCs/>
                <w:color w:val="auto"/>
                <w:highlight w:val="none"/>
              </w:rPr>
              <w:t>箱填充料</w:t>
            </w:r>
            <w:r>
              <w:rPr>
                <w:rFonts w:hint="eastAsia" w:cs="Times New Roman"/>
                <w:bCs/>
                <w:color w:val="auto"/>
                <w:highlight w:val="none"/>
                <w:lang w:val="en-US" w:eastAsia="zh-CN"/>
              </w:rPr>
              <w:t>1</w:t>
            </w:r>
            <w:r>
              <w:rPr>
                <w:rFonts w:hint="default" w:ascii="Times New Roman" w:hAnsi="Times New Roman" w:cs="Times New Roman"/>
                <w:bCs/>
                <w:color w:val="auto"/>
                <w:highlight w:val="none"/>
              </w:rPr>
              <w:t>m³，共</w:t>
            </w:r>
            <w:r>
              <w:rPr>
                <w:rFonts w:hint="eastAsia" w:cs="Times New Roman"/>
                <w:bCs/>
                <w:color w:val="auto"/>
                <w:highlight w:val="none"/>
                <w:lang w:val="en-US" w:eastAsia="zh-CN"/>
              </w:rPr>
              <w:t>3</w:t>
            </w:r>
            <w:r>
              <w:rPr>
                <w:rFonts w:hint="default" w:ascii="Times New Roman" w:hAnsi="Times New Roman" w:cs="Times New Roman"/>
                <w:bCs/>
                <w:color w:val="auto"/>
                <w:highlight w:val="none"/>
              </w:rPr>
              <w:t>个碳箱总计</w:t>
            </w:r>
            <w:r>
              <w:rPr>
                <w:rFonts w:hint="eastAsia" w:cs="Times New Roman"/>
                <w:bCs/>
                <w:color w:val="auto"/>
                <w:highlight w:val="none"/>
                <w:lang w:val="en-US" w:eastAsia="zh-CN"/>
              </w:rPr>
              <w:t>3</w:t>
            </w:r>
            <w:r>
              <w:rPr>
                <w:rFonts w:hint="default" w:ascii="Times New Roman" w:hAnsi="Times New Roman" w:cs="Times New Roman"/>
                <w:bCs/>
                <w:color w:val="auto"/>
                <w:highlight w:val="none"/>
              </w:rPr>
              <w:t>m³蜂窝活性炭，</w:t>
            </w:r>
            <w:r>
              <w:rPr>
                <w:rFonts w:hint="default" w:ascii="Times New Roman" w:hAnsi="Times New Roman" w:cs="Times New Roman"/>
                <w:bCs/>
                <w:color w:val="auto"/>
                <w:szCs w:val="24"/>
                <w:highlight w:val="none"/>
                <w:lang w:bidi="ar"/>
              </w:rPr>
              <w:t>活性炭碘值为</w:t>
            </w:r>
            <w:r>
              <w:rPr>
                <w:rFonts w:hint="eastAsia" w:cs="Times New Roman"/>
                <w:bCs/>
                <w:color w:val="auto"/>
                <w:szCs w:val="24"/>
                <w:highlight w:val="none"/>
                <w:lang w:val="en-US" w:eastAsia="zh-CN" w:bidi="ar"/>
              </w:rPr>
              <w:t>800</w:t>
            </w:r>
            <w:r>
              <w:rPr>
                <w:rFonts w:hint="default" w:ascii="Times New Roman" w:hAnsi="Times New Roman" w:cs="Times New Roman"/>
                <w:bCs/>
                <w:color w:val="auto"/>
                <w:szCs w:val="24"/>
                <w:highlight w:val="none"/>
                <w:lang w:bidi="ar"/>
              </w:rPr>
              <w:t>mg/g，</w:t>
            </w:r>
            <w:r>
              <w:rPr>
                <w:rFonts w:hint="default" w:ascii="Times New Roman" w:hAnsi="Times New Roman" w:cs="Times New Roman"/>
                <w:bCs/>
                <w:color w:val="auto"/>
                <w:highlight w:val="none"/>
              </w:rPr>
              <w:t>蜂窝活性炭重量按500kg/m³计算，本套系统活性炭填充重量为500×</w:t>
            </w:r>
            <w:r>
              <w:rPr>
                <w:rFonts w:hint="eastAsia" w:cs="Times New Roman"/>
                <w:bCs/>
                <w:color w:val="auto"/>
                <w:highlight w:val="none"/>
                <w:lang w:val="en-US" w:eastAsia="zh-CN"/>
              </w:rPr>
              <w:t>3</w:t>
            </w:r>
            <w:r>
              <w:rPr>
                <w:rFonts w:hint="default" w:ascii="Times New Roman" w:hAnsi="Times New Roman" w:cs="Times New Roman"/>
                <w:bCs/>
                <w:color w:val="auto"/>
                <w:highlight w:val="none"/>
              </w:rPr>
              <w:t>=</w:t>
            </w:r>
            <w:r>
              <w:rPr>
                <w:rFonts w:hint="eastAsia" w:cs="Times New Roman"/>
                <w:bCs/>
                <w:color w:val="auto"/>
                <w:highlight w:val="none"/>
                <w:lang w:val="en-US" w:eastAsia="zh-CN"/>
              </w:rPr>
              <w:t>1.5</w:t>
            </w:r>
            <w:r>
              <w:rPr>
                <w:rFonts w:hint="default" w:ascii="Times New Roman" w:hAnsi="Times New Roman" w:cs="Times New Roman"/>
                <w:bCs/>
                <w:color w:val="auto"/>
                <w:highlight w:val="none"/>
              </w:rPr>
              <w:t>t，</w:t>
            </w:r>
            <w:r>
              <w:rPr>
                <w:rFonts w:hint="default" w:ascii="Times New Roman" w:hAnsi="Times New Roman" w:cs="Times New Roman"/>
                <w:color w:val="auto"/>
                <w:highlight w:val="none"/>
              </w:rPr>
              <w:t>活性炭填充量是</w:t>
            </w:r>
            <w:r>
              <w:rPr>
                <w:rFonts w:hint="eastAsia" w:cs="Times New Roman"/>
                <w:color w:val="auto"/>
                <w:highlight w:val="none"/>
                <w:lang w:val="en-US" w:eastAsia="zh-CN"/>
              </w:rPr>
              <w:t>1.5</w:t>
            </w:r>
            <w:r>
              <w:rPr>
                <w:rFonts w:hint="default" w:ascii="Times New Roman" w:hAnsi="Times New Roman" w:cs="Times New Roman"/>
                <w:color w:val="auto"/>
                <w:highlight w:val="none"/>
              </w:rPr>
              <w:t>吨，设备运行时</w:t>
            </w:r>
            <w:r>
              <w:rPr>
                <w:rFonts w:hint="eastAsia" w:cs="Times New Roman"/>
                <w:color w:val="auto"/>
                <w:highlight w:val="none"/>
                <w:lang w:val="en-US" w:eastAsia="zh-CN"/>
              </w:rPr>
              <w:t>2</w:t>
            </w:r>
            <w:r>
              <w:rPr>
                <w:rFonts w:hint="default" w:ascii="Times New Roman" w:hAnsi="Times New Roman" w:cs="Times New Roman"/>
                <w:color w:val="auto"/>
                <w:highlight w:val="none"/>
              </w:rPr>
              <w:t>个活性炭装置处于吸附状态，1个处于脱附状态，脱附工艺为</w:t>
            </w:r>
            <w:r>
              <w:rPr>
                <w:rFonts w:hint="eastAsia" w:cs="Times New Roman"/>
                <w:color w:val="auto"/>
                <w:highlight w:val="none"/>
                <w:lang w:val="en-US" w:eastAsia="zh-CN"/>
              </w:rPr>
              <w:t>2</w:t>
            </w:r>
            <w:r>
              <w:rPr>
                <w:rFonts w:hint="default" w:ascii="Times New Roman" w:hAnsi="Times New Roman" w:cs="Times New Roman"/>
                <w:color w:val="auto"/>
                <w:highlight w:val="none"/>
              </w:rPr>
              <w:t>吸1脱</w:t>
            </w:r>
            <w:r>
              <w:rPr>
                <w:rFonts w:hint="eastAsia" w:cs="Times New Roman"/>
                <w:color w:val="auto"/>
                <w:highlight w:val="none"/>
                <w:lang w:eastAsia="zh-CN"/>
              </w:rPr>
              <w:t>，</w:t>
            </w:r>
            <w:r>
              <w:rPr>
                <w:rFonts w:hint="default" w:ascii="Times New Roman" w:hAnsi="Times New Roman" w:cs="Times New Roman"/>
                <w:bCs/>
                <w:color w:val="auto"/>
                <w:highlight w:val="none"/>
              </w:rPr>
              <w:t>活性炭吸附达到自身重量15%达到饱和，</w:t>
            </w:r>
            <w:r>
              <w:rPr>
                <w:rFonts w:hint="eastAsia" w:cs="Times New Roman"/>
                <w:bCs/>
                <w:color w:val="auto"/>
                <w:highlight w:val="none"/>
                <w:lang w:val="en-US" w:eastAsia="zh-CN"/>
              </w:rPr>
              <w:t>因此单个活性炭箱最大吸附容量为75kg。本项目TRVOC有组织产生量合计为4.00513t/a。根据设计单位提供资料，</w:t>
            </w:r>
            <w:r>
              <w:rPr>
                <w:rFonts w:hint="default" w:ascii="Times New Roman" w:hAnsi="Times New Roman" w:cs="Times New Roman"/>
                <w:bCs/>
                <w:color w:val="auto"/>
                <w:highlight w:val="none"/>
              </w:rPr>
              <w:t>本项目设计脱附时间每次8小时，</w:t>
            </w:r>
            <w:r>
              <w:rPr>
                <w:rFonts w:hint="eastAsia" w:cs="Times New Roman"/>
                <w:bCs/>
                <w:color w:val="auto"/>
                <w:highlight w:val="none"/>
                <w:lang w:val="en-US" w:eastAsia="zh-CN"/>
              </w:rPr>
              <w:t>2</w:t>
            </w:r>
            <w:r>
              <w:rPr>
                <w:rFonts w:hint="default" w:ascii="Times New Roman" w:hAnsi="Times New Roman" w:cs="Times New Roman"/>
                <w:bCs/>
                <w:color w:val="auto"/>
                <w:highlight w:val="none"/>
              </w:rPr>
              <w:t>天脱附一次，</w:t>
            </w:r>
            <w:r>
              <w:rPr>
                <w:rFonts w:hint="eastAsia" w:cs="Times New Roman"/>
                <w:bCs/>
                <w:color w:val="auto"/>
                <w:highlight w:val="none"/>
                <w:lang w:val="en-US" w:eastAsia="zh-CN"/>
              </w:rPr>
              <w:t>全年预计脱附150次，平均每次脱附处理量为4005.13÷150=26.7kg＜75kg，不超过单个活性炭箱最大吸附量，因此本项目催化燃烧设备及脱附频次设计方案能够满足活性炭箱吸附能力要求，</w:t>
            </w:r>
            <w:r>
              <w:rPr>
                <w:rFonts w:hint="default" w:ascii="Times New Roman" w:hAnsi="Times New Roman" w:cs="Times New Roman"/>
                <w:bCs/>
                <w:color w:val="auto"/>
                <w:highlight w:val="none"/>
              </w:rPr>
              <w:t>可满足达标排放和活性炭重复利用再生效果。</w:t>
            </w:r>
          </w:p>
          <w:p>
            <w:pPr>
              <w:autoSpaceDE w:val="0"/>
              <w:autoSpaceDN w:val="0"/>
              <w:adjustRightIn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本项目催化燃烧设施使用活性炭进行吸附过滤，活性炭需要进行定期更换，预计每年更换1次活性炭，废活性炭产生量约</w:t>
            </w:r>
            <w:r>
              <w:rPr>
                <w:rFonts w:hint="eastAsia" w:cs="Times New Roman"/>
                <w:color w:val="auto"/>
                <w:highlight w:val="none"/>
                <w:lang w:val="en-US" w:eastAsia="zh-CN"/>
              </w:rPr>
              <w:t>1.5</w:t>
            </w:r>
            <w:r>
              <w:rPr>
                <w:rFonts w:hint="default" w:ascii="Times New Roman" w:hAnsi="Times New Roman" w:cs="Times New Roman"/>
                <w:color w:val="auto"/>
                <w:highlight w:val="none"/>
              </w:rPr>
              <w:t>t/次。根据《国家危险废物名录》，废活性炭属于危险废物，废物类别为 HW49，废物代码为900-039-49。</w:t>
            </w:r>
          </w:p>
          <w:p>
            <w:pPr>
              <w:widowControl/>
              <w:spacing w:line="360" w:lineRule="auto"/>
              <w:ind w:firstLine="480" w:firstLineChars="20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根据设计单位提供资料，本项目采用活性炭对有机废气吸附效率可达85%，脱附+催化燃烧工艺对有机废气处理效率可达97%，能够确保有机废气排放浓度和排放速率满足《工业企业挥发性有机物排放控制标准》（DB12/524-2020）相关标准限值要求，臭气浓度满足《恶臭污染物排放标准》（DB12/059-2018）相关标准限值要求。</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②</w:t>
            </w:r>
            <w:r>
              <w:rPr>
                <w:rFonts w:hint="default" w:ascii="Times New Roman" w:hAnsi="Times New Roman" w:cs="Times New Roman"/>
                <w:color w:val="auto"/>
                <w:highlight w:val="none"/>
              </w:rPr>
              <w:t>布袋除尘器</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cs="Times New Roman"/>
                <w:color w:val="auto"/>
                <w:highlight w:val="none"/>
                <w:lang w:val="en-US" w:eastAsia="zh-CN"/>
              </w:rPr>
              <w:t>切割、焊接、打磨、抛丸</w:t>
            </w:r>
            <w:r>
              <w:rPr>
                <w:rFonts w:hint="default" w:ascii="Times New Roman" w:hAnsi="Times New Roman" w:cs="Times New Roman"/>
                <w:color w:val="auto"/>
                <w:highlight w:val="none"/>
              </w:rPr>
              <w:t>加工过程中产生</w:t>
            </w:r>
            <w:r>
              <w:rPr>
                <w:rFonts w:hint="eastAsia" w:cs="Times New Roman"/>
                <w:color w:val="auto"/>
                <w:highlight w:val="none"/>
                <w:lang w:val="en-US" w:eastAsia="zh-CN"/>
              </w:rPr>
              <w:t>的</w:t>
            </w:r>
            <w:r>
              <w:rPr>
                <w:rFonts w:hint="default" w:ascii="Times New Roman" w:hAnsi="Times New Roman" w:cs="Times New Roman"/>
                <w:color w:val="auto"/>
                <w:highlight w:val="none"/>
              </w:rPr>
              <w:t>颗粒物收集后，通过管道进入布袋除尘器进行处理，处理后的废气通过排气筒P1</w:t>
            </w:r>
            <w:r>
              <w:rPr>
                <w:rFonts w:hint="eastAsia" w:cs="Times New Roman"/>
                <w:color w:val="auto"/>
                <w:highlight w:val="none"/>
                <w:lang w:val="en-US" w:eastAsia="zh-CN"/>
              </w:rPr>
              <w:t>—P5</w:t>
            </w:r>
            <w:r>
              <w:rPr>
                <w:rFonts w:hint="default" w:ascii="Times New Roman" w:hAnsi="Times New Roman" w:cs="Times New Roman"/>
                <w:color w:val="auto"/>
                <w:highlight w:val="none"/>
              </w:rPr>
              <w:t>进行</w:t>
            </w:r>
            <w:r>
              <w:rPr>
                <w:rFonts w:hint="eastAsia" w:cs="Times New Roman"/>
                <w:color w:val="auto"/>
                <w:highlight w:val="none"/>
                <w:lang w:val="en-US" w:eastAsia="zh-CN"/>
              </w:rPr>
              <w:t>有组织</w:t>
            </w:r>
            <w:r>
              <w:rPr>
                <w:rFonts w:hint="default" w:ascii="Times New Roman" w:hAnsi="Times New Roman" w:cs="Times New Roman"/>
                <w:color w:val="auto"/>
                <w:highlight w:val="none"/>
              </w:rPr>
              <w:t>排放。</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布袋除尘器工作原理：布袋式除尘器是一种干式滤尘装置。它适用于捕集细小、干燥、非纤维性粉尘。滤袋采用纺织的滤布或非纺织的毡制成，利用纤维织物的过滤作用对含尘气体进行过滤，当含尘气体进入袋式除尘器后，颗粒大、比重大的粉尘，由于重力的作用沉降下来，落入灰斗，含有较细小粉尘的气体在通过滤料时，粉尘被阻留，使气体得到净化。袋式除尘器高的除尘效率是与它的除尘机理分不开的。含尘气体由除尘器下部进气管道，经导流板进入灰斗时</w:t>
            </w:r>
            <w:r>
              <w:rPr>
                <w:rFonts w:hint="eastAsia" w:cs="Times New Roman"/>
                <w:color w:val="auto"/>
                <w:highlight w:val="none"/>
                <w:lang w:eastAsia="zh-CN"/>
              </w:rPr>
              <w:t>，</w:t>
            </w:r>
            <w:r>
              <w:rPr>
                <w:rFonts w:hint="default" w:ascii="Times New Roman" w:hAnsi="Times New Roman" w:cs="Times New Roman"/>
                <w:color w:val="auto"/>
                <w:highlight w:val="none"/>
              </w:rPr>
              <w:t>由于导流板的碰撞和气体速度的降低等作用</w:t>
            </w:r>
            <w:r>
              <w:rPr>
                <w:rFonts w:hint="eastAsia" w:cs="Times New Roman"/>
                <w:color w:val="auto"/>
                <w:highlight w:val="none"/>
                <w:lang w:eastAsia="zh-CN"/>
              </w:rPr>
              <w:t>，</w:t>
            </w:r>
            <w:r>
              <w:rPr>
                <w:rFonts w:hint="default" w:ascii="Times New Roman" w:hAnsi="Times New Roman" w:cs="Times New Roman"/>
                <w:color w:val="auto"/>
                <w:highlight w:val="none"/>
              </w:rPr>
              <w:t>粗粒粉尘将落入灰斗中，其余细小颗粒粉尘随气体进入滤袋室，由于滤料纤维及织物的惯性、扩散、阻隔、钩挂、静电等作用，粉尘被阻留在滤袋内，净化后的气体逸出袋外，经排气管排出。滤袋上的积灰可以采用喷吹脉冲气流的方法去除，从而达到清灰的目的，清除下来的粉尘由排灰装置排走。除尘效率高，一般</w:t>
            </w:r>
            <w:r>
              <w:rPr>
                <w:rFonts w:hint="eastAsia" w:cs="Times New Roman"/>
                <w:color w:val="auto"/>
                <w:highlight w:val="none"/>
                <w:lang w:val="en-US" w:eastAsia="zh-CN"/>
              </w:rPr>
              <w:t>介于</w:t>
            </w:r>
            <w:r>
              <w:rPr>
                <w:rFonts w:hint="default" w:ascii="Times New Roman" w:hAnsi="Times New Roman" w:cs="Times New Roman"/>
                <w:color w:val="auto"/>
                <w:highlight w:val="none"/>
              </w:rPr>
              <w:t>9</w:t>
            </w:r>
            <w:r>
              <w:rPr>
                <w:rFonts w:hint="eastAsia" w:cs="Times New Roman"/>
                <w:color w:val="auto"/>
                <w:highlight w:val="none"/>
                <w:lang w:val="en-US" w:eastAsia="zh-CN"/>
              </w:rPr>
              <w:t>5%-99%之间</w:t>
            </w:r>
            <w:r>
              <w:rPr>
                <w:rFonts w:hint="default" w:ascii="Times New Roman" w:hAnsi="Times New Roman" w:cs="Times New Roman"/>
                <w:color w:val="auto"/>
                <w:highlight w:val="none"/>
              </w:rPr>
              <w:t>，本项目产生颗粒物浓度较小，采用布袋除尘器处理措施可行</w:t>
            </w:r>
            <w:r>
              <w:rPr>
                <w:rFonts w:hint="eastAsia" w:cs="Times New Roman"/>
                <w:color w:val="auto"/>
                <w:highlight w:val="none"/>
                <w:lang w:eastAsia="zh-CN"/>
              </w:rPr>
              <w:t>，</w:t>
            </w:r>
            <w:r>
              <w:rPr>
                <w:rFonts w:hint="eastAsia" w:cs="Times New Roman"/>
                <w:color w:val="auto"/>
                <w:highlight w:val="none"/>
                <w:lang w:val="en-US" w:eastAsia="zh-CN"/>
              </w:rPr>
              <w:t>除尘效率按照95%计</w:t>
            </w:r>
            <w:r>
              <w:rPr>
                <w:rFonts w:hint="default" w:ascii="Times New Roman" w:hAnsi="Times New Roman" w:cs="Times New Roman"/>
                <w:color w:val="auto"/>
                <w:highlight w:val="none"/>
              </w:rPr>
              <w:t>。本项目布袋除尘器及环保设备风机设置时，缩短各集气口位置及主管道与布袋除尘器之间的距离，减少管道中风量的损耗。本项目</w:t>
            </w:r>
            <w:r>
              <w:rPr>
                <w:rFonts w:hint="eastAsia" w:cs="Times New Roman"/>
                <w:color w:val="auto"/>
                <w:highlight w:val="none"/>
                <w:lang w:val="en-US" w:eastAsia="zh-CN"/>
              </w:rPr>
              <w:t>切割、焊接、打磨、抛丸</w:t>
            </w:r>
            <w:r>
              <w:rPr>
                <w:rFonts w:hint="default" w:ascii="Times New Roman" w:hAnsi="Times New Roman" w:cs="Times New Roman"/>
                <w:color w:val="auto"/>
                <w:highlight w:val="none"/>
              </w:rPr>
              <w:t>加工过程产生的颗粒物经该除尘器处理后，排气筒P1</w:t>
            </w:r>
            <w:r>
              <w:rPr>
                <w:rFonts w:hint="eastAsia" w:cs="Times New Roman"/>
                <w:color w:val="auto"/>
                <w:highlight w:val="none"/>
                <w:lang w:val="en-US" w:eastAsia="zh-CN"/>
              </w:rPr>
              <w:t>—P5</w:t>
            </w:r>
            <w:r>
              <w:rPr>
                <w:rFonts w:hint="default" w:ascii="Times New Roman" w:hAnsi="Times New Roman" w:cs="Times New Roman"/>
                <w:color w:val="auto"/>
                <w:highlight w:val="none"/>
              </w:rPr>
              <w:t>排放颗粒物能够满足《大气污染物综合排放标准》（GB16297-1996）中颗粒物排放限值要求。</w:t>
            </w:r>
          </w:p>
          <w:p>
            <w:pPr>
              <w:spacing w:line="360" w:lineRule="auto"/>
              <w:ind w:left="480" w:leftChars="200"/>
              <w:rPr>
                <w:rFonts w:hint="default" w:ascii="Times New Roman" w:hAnsi="Times New Roman" w:cs="Times New Roman"/>
                <w:color w:val="auto"/>
                <w:highlight w:val="none"/>
              </w:rPr>
            </w:pPr>
            <w:r>
              <w:rPr>
                <w:rFonts w:hint="default" w:ascii="Times New Roman" w:hAnsi="Times New Roman" w:cs="Times New Roman"/>
                <w:color w:val="auto"/>
                <w:highlight w:val="none"/>
              </w:rPr>
              <w:t>（4）废气收集方式</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cs="Times New Roman"/>
                <w:color w:val="auto"/>
                <w:highlight w:val="none"/>
                <w:lang w:val="en-US" w:eastAsia="zh-CN"/>
              </w:rPr>
              <w:t>伸缩式</w:t>
            </w:r>
            <w:r>
              <w:rPr>
                <w:rFonts w:hint="default" w:ascii="Times New Roman" w:hAnsi="Times New Roman" w:cs="Times New Roman"/>
                <w:color w:val="auto"/>
                <w:highlight w:val="none"/>
              </w:rPr>
              <w:t>喷漆房产生的有机废气经收集处理后通过排气筒P</w:t>
            </w:r>
            <w:r>
              <w:rPr>
                <w:rFonts w:hint="eastAsia" w:cs="Times New Roman"/>
                <w:color w:val="auto"/>
                <w:highlight w:val="none"/>
                <w:lang w:val="en-US" w:eastAsia="zh-CN"/>
              </w:rPr>
              <w:t>6</w:t>
            </w:r>
            <w:r>
              <w:rPr>
                <w:rFonts w:hint="default" w:ascii="Times New Roman" w:hAnsi="Times New Roman" w:cs="Times New Roman"/>
                <w:color w:val="auto"/>
                <w:highlight w:val="none"/>
              </w:rPr>
              <w:t>排放，收集方式均为负压密闭收集，当喷漆房截面风速达到0.38m/s以上时，能够认为喷漆房的废气收集效率为100%。</w:t>
            </w:r>
          </w:p>
          <w:p>
            <w:pPr>
              <w:pStyle w:val="25"/>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szCs w:val="32"/>
                <w:highlight w:val="none"/>
              </w:rPr>
            </w:pPr>
            <w:r>
              <w:rPr>
                <w:rFonts w:hint="default" w:ascii="Times New Roman" w:hAnsi="Times New Roman" w:cs="Times New Roman"/>
                <w:color w:val="auto"/>
                <w:highlight w:val="none"/>
              </w:rPr>
              <w:t>根据建设单位设计资料，本项目</w:t>
            </w:r>
            <w:r>
              <w:rPr>
                <w:rFonts w:hint="eastAsia" w:ascii="Times New Roman" w:hAnsi="Times New Roman" w:cs="Times New Roman"/>
                <w:color w:val="auto"/>
                <w:highlight w:val="none"/>
                <w:lang w:val="en-US" w:eastAsia="zh-CN"/>
              </w:rPr>
              <w:t>伸缩式</w:t>
            </w:r>
            <w:r>
              <w:rPr>
                <w:rFonts w:hint="default" w:ascii="Times New Roman" w:hAnsi="Times New Roman" w:cs="Times New Roman"/>
                <w:color w:val="auto"/>
                <w:highlight w:val="none"/>
              </w:rPr>
              <w:t>喷漆房</w:t>
            </w:r>
            <w:r>
              <w:rPr>
                <w:rFonts w:hint="default" w:ascii="Times New Roman" w:hAnsi="Times New Roman" w:cs="Times New Roman"/>
                <w:color w:val="auto"/>
                <w:szCs w:val="32"/>
                <w:highlight w:val="none"/>
              </w:rPr>
              <w:t>尺寸均为长</w:t>
            </w:r>
            <w:r>
              <w:rPr>
                <w:rFonts w:hint="eastAsia" w:ascii="Times New Roman" w:hAnsi="Times New Roman" w:cs="Times New Roman"/>
                <w:color w:val="auto"/>
                <w:szCs w:val="32"/>
                <w:highlight w:val="none"/>
                <w:lang w:val="en-US" w:eastAsia="zh-CN"/>
              </w:rPr>
              <w:t>50</w:t>
            </w:r>
            <w:r>
              <w:rPr>
                <w:rFonts w:hint="default" w:ascii="Times New Roman" w:hAnsi="Times New Roman" w:cs="Times New Roman"/>
                <w:color w:val="auto"/>
                <w:szCs w:val="32"/>
                <w:highlight w:val="none"/>
              </w:rPr>
              <w:t>m，宽</w:t>
            </w:r>
            <w:r>
              <w:rPr>
                <w:rFonts w:hint="eastAsia" w:ascii="Times New Roman" w:hAnsi="Times New Roman" w:cs="Times New Roman"/>
                <w:color w:val="auto"/>
                <w:szCs w:val="32"/>
                <w:highlight w:val="none"/>
                <w:lang w:val="en-US" w:eastAsia="zh-CN"/>
              </w:rPr>
              <w:t>8</w:t>
            </w:r>
            <w:r>
              <w:rPr>
                <w:rFonts w:hint="default" w:ascii="Times New Roman" w:hAnsi="Times New Roman" w:cs="Times New Roman"/>
                <w:color w:val="auto"/>
                <w:szCs w:val="32"/>
                <w:highlight w:val="none"/>
              </w:rPr>
              <w:t>m，高为</w:t>
            </w:r>
            <w:r>
              <w:rPr>
                <w:rFonts w:hint="eastAsia" w:ascii="Times New Roman" w:hAnsi="Times New Roman" w:cs="Times New Roman"/>
                <w:color w:val="auto"/>
                <w:szCs w:val="32"/>
                <w:highlight w:val="none"/>
                <w:lang w:val="en-US" w:eastAsia="zh-CN"/>
              </w:rPr>
              <w:t>2.5</w:t>
            </w:r>
            <w:r>
              <w:rPr>
                <w:rFonts w:hint="default" w:ascii="Times New Roman" w:hAnsi="Times New Roman" w:cs="Times New Roman"/>
                <w:color w:val="auto"/>
                <w:szCs w:val="32"/>
                <w:highlight w:val="none"/>
              </w:rPr>
              <w:t>m，横截面面积为</w:t>
            </w:r>
            <w:r>
              <w:rPr>
                <w:rFonts w:hint="eastAsia" w:ascii="Times New Roman" w:hAnsi="Times New Roman" w:cs="Times New Roman"/>
                <w:color w:val="auto"/>
                <w:szCs w:val="32"/>
                <w:highlight w:val="none"/>
                <w:lang w:val="en-US" w:eastAsia="zh-CN"/>
              </w:rPr>
              <w:t>30</w:t>
            </w:r>
            <w:r>
              <w:rPr>
                <w:rFonts w:hint="default" w:ascii="Times New Roman" w:hAnsi="Times New Roman" w:cs="Times New Roman"/>
                <w:color w:val="auto"/>
                <w:szCs w:val="32"/>
                <w:highlight w:val="none"/>
              </w:rPr>
              <w:t>m</w:t>
            </w:r>
            <w:r>
              <w:rPr>
                <w:rFonts w:hint="default" w:ascii="Times New Roman" w:hAnsi="Times New Roman" w:cs="Times New Roman"/>
                <w:color w:val="auto"/>
                <w:szCs w:val="32"/>
                <w:highlight w:val="none"/>
                <w:vertAlign w:val="superscript"/>
              </w:rPr>
              <w:t>2</w:t>
            </w:r>
            <w:r>
              <w:rPr>
                <w:rFonts w:hint="default" w:ascii="Times New Roman" w:hAnsi="Times New Roman" w:cs="Times New Roman"/>
                <w:color w:val="auto"/>
                <w:szCs w:val="32"/>
                <w:highlight w:val="none"/>
              </w:rPr>
              <w:t>，</w:t>
            </w:r>
            <w:r>
              <w:rPr>
                <w:rFonts w:hint="eastAsia" w:cs="Times New Roman"/>
                <w:color w:val="auto"/>
                <w:highlight w:val="none"/>
                <w:lang w:val="en-US" w:eastAsia="zh-CN"/>
              </w:rPr>
              <w:t>对应风量设计为</w:t>
            </w:r>
            <w:r>
              <w:rPr>
                <w:rFonts w:hint="eastAsia" w:ascii="Times New Roman" w:hAnsi="Times New Roman" w:cs="Times New Roman"/>
                <w:color w:val="auto"/>
                <w:highlight w:val="none"/>
                <w:lang w:val="en-US" w:eastAsia="zh-CN"/>
              </w:rPr>
              <w:t>30</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szCs w:val="24"/>
                <w:highlight w:val="none"/>
              </w:rPr>
              <w:t>00m³/h</w:t>
            </w:r>
            <w:r>
              <w:rPr>
                <w:rFonts w:hint="eastAsia" w:ascii="Times New Roman" w:hAnsi="Times New Roman" w:cs="Times New Roman"/>
                <w:color w:val="auto"/>
                <w:szCs w:val="24"/>
                <w:highlight w:val="none"/>
                <w:lang w:eastAsia="zh-CN"/>
              </w:rPr>
              <w:t>，</w:t>
            </w:r>
            <w:r>
              <w:rPr>
                <w:rFonts w:hint="eastAsia" w:ascii="Times New Roman" w:hAnsi="Times New Roman" w:cs="Times New Roman"/>
                <w:color w:val="auto"/>
                <w:szCs w:val="24"/>
                <w:highlight w:val="none"/>
                <w:lang w:val="en-US" w:eastAsia="zh-CN"/>
              </w:rPr>
              <w:t>经核算横截面风速为0.42m/s＞0.38m/s，能够认为喷漆房的废气收集效率为100%。</w:t>
            </w:r>
          </w:p>
          <w:p>
            <w:pPr>
              <w:pStyle w:val="25"/>
              <w:widowControl w:val="0"/>
              <w:adjustRightInd w:val="0"/>
              <w:snapToGrid w:val="0"/>
              <w:spacing w:before="0" w:beforeAutospacing="0" w:after="0" w:afterAutospacing="0" w:line="360" w:lineRule="auto"/>
              <w:ind w:firstLine="480" w:firstLineChars="20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综上，本项目排气筒P2配套风机风量设计为</w:t>
            </w:r>
            <w:r>
              <w:rPr>
                <w:rFonts w:hint="eastAsia" w:ascii="Times New Roman" w:hAnsi="Times New Roman" w:cs="Times New Roman"/>
                <w:color w:val="auto"/>
                <w:highlight w:val="none"/>
                <w:lang w:val="en-US" w:eastAsia="zh-CN"/>
              </w:rPr>
              <w:t>30</w:t>
            </w:r>
            <w:r>
              <w:rPr>
                <w:rFonts w:hint="default" w:ascii="Times New Roman" w:hAnsi="Times New Roman" w:cs="Times New Roman"/>
                <w:color w:val="auto"/>
                <w:highlight w:val="none"/>
              </w:rPr>
              <w:t xml:space="preserve">000m³/h，因此满足所需风量需求。   </w:t>
            </w:r>
          </w:p>
          <w:p>
            <w:pPr>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2.废气达标排放论证</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2.1废气达标排放论证</w:t>
            </w:r>
          </w:p>
          <w:p>
            <w:pPr>
              <w:spacing w:line="360" w:lineRule="auto"/>
              <w:ind w:left="480" w:leftChars="200"/>
              <w:rPr>
                <w:rFonts w:hint="default" w:ascii="Times New Roman" w:hAnsi="Times New Roman" w:cs="Times New Roman"/>
                <w:b/>
                <w:bCs/>
                <w:color w:val="auto"/>
                <w:sz w:val="21"/>
                <w:szCs w:val="21"/>
                <w:highlight w:val="none"/>
              </w:rPr>
            </w:pPr>
            <w:r>
              <w:rPr>
                <w:rFonts w:hint="default" w:ascii="Times New Roman" w:hAnsi="Times New Roman" w:cs="Times New Roman"/>
                <w:color w:val="auto"/>
                <w:highlight w:val="none"/>
              </w:rPr>
              <w:t>（1）废气有组织排放分析</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表4-1</w:t>
            </w:r>
            <w:r>
              <w:rPr>
                <w:rFonts w:hint="eastAsia" w:cs="Times New Roman"/>
                <w:b/>
                <w:bCs/>
                <w:color w:val="auto"/>
                <w:sz w:val="21"/>
                <w:szCs w:val="21"/>
                <w:highlight w:val="none"/>
                <w:lang w:val="en-US" w:eastAsia="zh-CN"/>
              </w:rPr>
              <w:t>2</w:t>
            </w:r>
            <w:r>
              <w:rPr>
                <w:rFonts w:hint="default" w:ascii="Times New Roman" w:hAnsi="Times New Roman" w:cs="Times New Roman"/>
                <w:b/>
                <w:bCs/>
                <w:color w:val="auto"/>
                <w:sz w:val="21"/>
                <w:szCs w:val="21"/>
                <w:highlight w:val="none"/>
              </w:rPr>
              <w:t xml:space="preserve"> 本项目废气排放情况一览表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
              <w:gridCol w:w="2175"/>
              <w:gridCol w:w="3244"/>
              <w:gridCol w:w="2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pct"/>
                  <w:vMerge w:val="restart"/>
                  <w:vAlign w:val="center"/>
                </w:tcPr>
                <w:p>
                  <w:pPr>
                    <w:spacing w:before="100" w:beforeAutospacing="1" w:after="100" w:afterAutospacing="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tc>
              <w:tc>
                <w:tcPr>
                  <w:tcW w:w="1197" w:type="pct"/>
                  <w:vMerge w:val="restart"/>
                  <w:vAlign w:val="center"/>
                </w:tcPr>
                <w:p>
                  <w:pPr>
                    <w:spacing w:before="100" w:beforeAutospacing="1" w:after="100" w:afterAutospacing="1"/>
                    <w:jc w:val="center"/>
                    <w:rPr>
                      <w:rFonts w:hint="default" w:ascii="Times New Roman" w:hAnsi="Times New Roman" w:cs="Times New Roman"/>
                      <w:color w:val="auto"/>
                      <w:sz w:val="21"/>
                      <w:szCs w:val="21"/>
                      <w:highlight w:val="none"/>
                      <w:lang w:val="en-GB"/>
                    </w:rPr>
                  </w:pPr>
                  <w:r>
                    <w:rPr>
                      <w:rFonts w:hint="default" w:ascii="Times New Roman" w:hAnsi="Times New Roman" w:cs="Times New Roman"/>
                      <w:color w:val="auto"/>
                      <w:sz w:val="21"/>
                      <w:szCs w:val="21"/>
                      <w:highlight w:val="none"/>
                      <w:lang w:val="en-GB"/>
                    </w:rPr>
                    <w:t>污染物</w:t>
                  </w:r>
                </w:p>
              </w:tc>
              <w:tc>
                <w:tcPr>
                  <w:tcW w:w="3276" w:type="pct"/>
                  <w:gridSpan w:val="2"/>
                  <w:vAlign w:val="center"/>
                </w:tcPr>
                <w:p>
                  <w:pPr>
                    <w:spacing w:before="100" w:beforeAutospacing="1" w:after="100" w:afterAutospacing="1"/>
                    <w:jc w:val="center"/>
                    <w:rPr>
                      <w:rFonts w:hint="default" w:ascii="Times New Roman" w:hAnsi="Times New Roman" w:cs="Times New Roman"/>
                      <w:color w:val="auto"/>
                      <w:sz w:val="21"/>
                      <w:szCs w:val="21"/>
                      <w:highlight w:val="none"/>
                      <w:lang w:val="en-GB"/>
                    </w:rPr>
                  </w:pPr>
                  <w:r>
                    <w:rPr>
                      <w:rFonts w:hint="default" w:ascii="Times New Roman" w:hAnsi="Times New Roman" w:cs="Times New Roman"/>
                      <w:color w:val="auto"/>
                      <w:sz w:val="21"/>
                      <w:szCs w:val="21"/>
                      <w:highlight w:val="none"/>
                      <w:lang w:val="en-GB"/>
                    </w:rPr>
                    <w:t>有组织废气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pct"/>
                  <w:vMerge w:val="continue"/>
                  <w:vAlign w:val="center"/>
                </w:tcPr>
                <w:p>
                  <w:pPr>
                    <w:spacing w:before="100" w:beforeAutospacing="1" w:after="100" w:afterAutospacing="1"/>
                    <w:jc w:val="center"/>
                    <w:rPr>
                      <w:rFonts w:hint="default" w:ascii="Times New Roman" w:hAnsi="Times New Roman" w:cs="Times New Roman"/>
                      <w:color w:val="auto"/>
                      <w:sz w:val="21"/>
                      <w:szCs w:val="21"/>
                      <w:highlight w:val="none"/>
                      <w:lang w:val="en-GB"/>
                    </w:rPr>
                  </w:pPr>
                </w:p>
              </w:tc>
              <w:tc>
                <w:tcPr>
                  <w:tcW w:w="1197" w:type="pct"/>
                  <w:vMerge w:val="continue"/>
                  <w:vAlign w:val="center"/>
                </w:tcPr>
                <w:p>
                  <w:pPr>
                    <w:spacing w:before="100" w:beforeAutospacing="1" w:after="100" w:afterAutospacing="1"/>
                    <w:jc w:val="center"/>
                    <w:rPr>
                      <w:rFonts w:hint="default" w:ascii="Times New Roman" w:hAnsi="Times New Roman" w:cs="Times New Roman"/>
                      <w:b/>
                      <w:bCs/>
                      <w:color w:val="auto"/>
                      <w:sz w:val="21"/>
                      <w:szCs w:val="21"/>
                      <w:highlight w:val="none"/>
                    </w:rPr>
                  </w:pPr>
                </w:p>
              </w:tc>
              <w:tc>
                <w:tcPr>
                  <w:tcW w:w="1785" w:type="pct"/>
                  <w:vAlign w:val="center"/>
                </w:tcPr>
                <w:p>
                  <w:pPr>
                    <w:spacing w:before="100" w:beforeAutospacing="1" w:after="100" w:afterAutospacing="1"/>
                    <w:jc w:val="center"/>
                    <w:rPr>
                      <w:rFonts w:hint="default" w:ascii="Times New Roman" w:hAnsi="Times New Roman" w:cs="Times New Roman"/>
                      <w:color w:val="auto"/>
                      <w:sz w:val="21"/>
                      <w:szCs w:val="21"/>
                      <w:highlight w:val="none"/>
                      <w:lang w:val="en-GB"/>
                    </w:rPr>
                  </w:pPr>
                  <w:r>
                    <w:rPr>
                      <w:rFonts w:hint="default" w:ascii="Times New Roman" w:hAnsi="Times New Roman" w:cs="Times New Roman"/>
                      <w:color w:val="auto"/>
                      <w:sz w:val="21"/>
                      <w:szCs w:val="21"/>
                      <w:highlight w:val="none"/>
                    </w:rPr>
                    <w:t>排放速率（kg/h）</w:t>
                  </w:r>
                </w:p>
              </w:tc>
              <w:tc>
                <w:tcPr>
                  <w:tcW w:w="1491" w:type="pct"/>
                  <w:vAlign w:val="center"/>
                </w:tcPr>
                <w:p>
                  <w:pPr>
                    <w:spacing w:before="100" w:beforeAutospacing="1" w:after="100" w:afterAutospacing="1"/>
                    <w:jc w:val="center"/>
                    <w:rPr>
                      <w:rFonts w:hint="default" w:ascii="Times New Roman" w:hAnsi="Times New Roman" w:cs="Times New Roman"/>
                      <w:color w:val="auto"/>
                      <w:sz w:val="21"/>
                      <w:szCs w:val="21"/>
                      <w:highlight w:val="none"/>
                      <w:lang w:val="en-GB"/>
                    </w:rPr>
                  </w:pPr>
                  <w:r>
                    <w:rPr>
                      <w:rFonts w:hint="default" w:ascii="Times New Roman" w:hAnsi="Times New Roman" w:cs="Times New Roman"/>
                      <w:color w:val="auto"/>
                      <w:sz w:val="21"/>
                      <w:szCs w:val="21"/>
                      <w:highlight w:val="none"/>
                    </w:rPr>
                    <w:t>排放浓度（mg/m³）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P1</w:t>
                  </w:r>
                </w:p>
              </w:tc>
              <w:tc>
                <w:tcPr>
                  <w:tcW w:w="2048"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3054" w:type="dxa"/>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0.013927</w:t>
                  </w:r>
                </w:p>
              </w:tc>
              <w:tc>
                <w:tcPr>
                  <w:tcW w:w="2551"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P2</w:t>
                  </w:r>
                </w:p>
              </w:tc>
              <w:tc>
                <w:tcPr>
                  <w:tcW w:w="2048"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3054"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0.014914</w:t>
                  </w:r>
                </w:p>
              </w:tc>
              <w:tc>
                <w:tcPr>
                  <w:tcW w:w="2551" w:type="dxa"/>
                  <w:vAlign w:val="center"/>
                </w:tcPr>
                <w:p>
                  <w:pPr>
                    <w:pStyle w:val="73"/>
                    <w:spacing w:line="240" w:lineRule="auto"/>
                    <w:ind w:firstLine="0" w:firstLine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P3</w:t>
                  </w:r>
                </w:p>
              </w:tc>
              <w:tc>
                <w:tcPr>
                  <w:tcW w:w="2048"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3054"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14162</w:t>
                  </w:r>
                </w:p>
              </w:tc>
              <w:tc>
                <w:tcPr>
                  <w:tcW w:w="2551" w:type="dxa"/>
                  <w:vAlign w:val="center"/>
                </w:tcPr>
                <w:p>
                  <w:pPr>
                    <w:pStyle w:val="73"/>
                    <w:spacing w:line="240" w:lineRule="auto"/>
                    <w:ind w:firstLine="0" w:firstLine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P4</w:t>
                  </w:r>
                </w:p>
              </w:tc>
              <w:tc>
                <w:tcPr>
                  <w:tcW w:w="2048"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3054"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0.014934</w:t>
                  </w:r>
                </w:p>
              </w:tc>
              <w:tc>
                <w:tcPr>
                  <w:tcW w:w="2551" w:type="dxa"/>
                  <w:vAlign w:val="center"/>
                </w:tcPr>
                <w:p>
                  <w:pPr>
                    <w:pStyle w:val="73"/>
                    <w:spacing w:line="240" w:lineRule="auto"/>
                    <w:ind w:firstLine="0" w:firstLine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P5</w:t>
                  </w:r>
                </w:p>
              </w:tc>
              <w:tc>
                <w:tcPr>
                  <w:tcW w:w="2048"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3054"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14162</w:t>
                  </w:r>
                </w:p>
              </w:tc>
              <w:tc>
                <w:tcPr>
                  <w:tcW w:w="2551" w:type="dxa"/>
                  <w:vAlign w:val="center"/>
                </w:tcPr>
                <w:p>
                  <w:pPr>
                    <w:pStyle w:val="73"/>
                    <w:spacing w:line="240" w:lineRule="auto"/>
                    <w:ind w:firstLine="0" w:firstLine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restart"/>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w:t>
                  </w:r>
                  <w:r>
                    <w:rPr>
                      <w:rFonts w:hint="eastAsia" w:cs="Times New Roman"/>
                      <w:color w:val="auto"/>
                      <w:sz w:val="21"/>
                      <w:szCs w:val="21"/>
                      <w:highlight w:val="none"/>
                      <w:lang w:val="en-US" w:eastAsia="zh-CN"/>
                    </w:rPr>
                    <w:t>6</w:t>
                  </w:r>
                </w:p>
              </w:tc>
              <w:tc>
                <w:tcPr>
                  <w:tcW w:w="2048"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TRVOC</w:t>
                  </w:r>
                </w:p>
              </w:tc>
              <w:tc>
                <w:tcPr>
                  <w:tcW w:w="3054" w:type="dxa"/>
                  <w:vAlign w:val="center"/>
                </w:tcPr>
                <w:p>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0.923</w:t>
                  </w:r>
                </w:p>
              </w:tc>
              <w:tc>
                <w:tcPr>
                  <w:tcW w:w="2551" w:type="dxa"/>
                  <w:vAlign w:val="center"/>
                </w:tcPr>
                <w:p>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00" w:type="dxa"/>
                  <w:vMerge w:val="continue"/>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p>
              </w:tc>
              <w:tc>
                <w:tcPr>
                  <w:tcW w:w="2048"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3054" w:type="dxa"/>
                  <w:vAlign w:val="center"/>
                </w:tcPr>
                <w:p>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0.923</w:t>
                  </w:r>
                </w:p>
              </w:tc>
              <w:tc>
                <w:tcPr>
                  <w:tcW w:w="2551" w:type="dxa"/>
                  <w:vAlign w:val="center"/>
                </w:tcPr>
                <w:p>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continue"/>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p>
              </w:tc>
              <w:tc>
                <w:tcPr>
                  <w:tcW w:w="2048"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二甲苯</w:t>
                  </w:r>
                </w:p>
              </w:tc>
              <w:tc>
                <w:tcPr>
                  <w:tcW w:w="3054" w:type="dxa"/>
                  <w:vAlign w:val="center"/>
                </w:tcPr>
                <w:p>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0.485</w:t>
                  </w:r>
                </w:p>
              </w:tc>
              <w:tc>
                <w:tcPr>
                  <w:tcW w:w="2551" w:type="dxa"/>
                  <w:vAlign w:val="center"/>
                </w:tcPr>
                <w:p>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0" w:type="dxa"/>
                  <w:vMerge w:val="continue"/>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p>
              </w:tc>
              <w:tc>
                <w:tcPr>
                  <w:tcW w:w="2048" w:type="dxa"/>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乙苯</w:t>
                  </w:r>
                </w:p>
              </w:tc>
              <w:tc>
                <w:tcPr>
                  <w:tcW w:w="3054" w:type="dxa"/>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0.104</w:t>
                  </w:r>
                </w:p>
              </w:tc>
              <w:tc>
                <w:tcPr>
                  <w:tcW w:w="2551" w:type="dxa"/>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6" w:type="pct"/>
                  <w:vMerge w:val="continue"/>
                  <w:vAlign w:val="center"/>
                </w:tcPr>
                <w:p>
                  <w:pPr>
                    <w:spacing w:before="100" w:beforeAutospacing="1" w:after="100" w:afterAutospacing="1"/>
                    <w:jc w:val="center"/>
                    <w:rPr>
                      <w:rFonts w:hint="default" w:ascii="Times New Roman" w:hAnsi="Times New Roman" w:cs="Times New Roman"/>
                      <w:color w:val="auto"/>
                      <w:sz w:val="21"/>
                      <w:szCs w:val="21"/>
                      <w:highlight w:val="none"/>
                    </w:rPr>
                  </w:pPr>
                </w:p>
              </w:tc>
              <w:tc>
                <w:tcPr>
                  <w:tcW w:w="119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臭气浓度</w:t>
                  </w:r>
                </w:p>
              </w:tc>
              <w:tc>
                <w:tcPr>
                  <w:tcW w:w="3276" w:type="pct"/>
                  <w:gridSpan w:val="2"/>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416</w:t>
                  </w:r>
                  <w:r>
                    <w:rPr>
                      <w:rFonts w:hint="default" w:ascii="Times New Roman" w:hAnsi="Times New Roman" w:cs="Times New Roman"/>
                      <w:color w:val="auto"/>
                      <w:sz w:val="21"/>
                      <w:szCs w:val="21"/>
                      <w:highlight w:val="none"/>
                    </w:rPr>
                    <w:t>（无量纲）</w:t>
                  </w:r>
                </w:p>
              </w:tc>
            </w:tr>
          </w:tbl>
          <w:p>
            <w:pPr>
              <w:spacing w:before="120" w:beforeLines="50"/>
              <w:jc w:val="center"/>
              <w:rPr>
                <w:rFonts w:hint="default" w:ascii="Times New Roman" w:hAnsi="Times New Roman" w:cs="Times New Roman"/>
                <w:b/>
                <w:bCs/>
                <w:color w:val="auto"/>
                <w:sz w:val="21"/>
                <w:szCs w:val="21"/>
                <w:highlight w:val="none"/>
                <w:lang w:val="en-GB"/>
              </w:rPr>
            </w:pPr>
            <w:r>
              <w:rPr>
                <w:rFonts w:hint="default" w:ascii="Times New Roman" w:hAnsi="Times New Roman" w:cs="Times New Roman"/>
                <w:b/>
                <w:bCs/>
                <w:color w:val="auto"/>
                <w:sz w:val="21"/>
                <w:szCs w:val="21"/>
                <w:highlight w:val="none"/>
                <w:lang w:val="en-GB"/>
              </w:rPr>
              <w:t>表</w:t>
            </w:r>
            <w:r>
              <w:rPr>
                <w:rFonts w:hint="default" w:ascii="Times New Roman" w:hAnsi="Times New Roman" w:cs="Times New Roman"/>
                <w:b/>
                <w:bCs/>
                <w:color w:val="auto"/>
                <w:sz w:val="21"/>
                <w:szCs w:val="21"/>
                <w:highlight w:val="none"/>
              </w:rPr>
              <w:t>4-1</w:t>
            </w:r>
            <w:r>
              <w:rPr>
                <w:rFonts w:hint="eastAsia" w:cs="Times New Roman"/>
                <w:b/>
                <w:bCs/>
                <w:color w:val="auto"/>
                <w:sz w:val="21"/>
                <w:szCs w:val="21"/>
                <w:highlight w:val="none"/>
                <w:lang w:val="en-US" w:eastAsia="zh-CN"/>
              </w:rPr>
              <w:t>3</w:t>
            </w:r>
            <w:r>
              <w:rPr>
                <w:rFonts w:hint="default" w:ascii="Times New Roman" w:hAnsi="Times New Roman"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en-GB"/>
              </w:rPr>
              <w:t>有组织排放达标情况</w:t>
            </w:r>
          </w:p>
          <w:tbl>
            <w:tblPr>
              <w:tblStyle w:val="29"/>
              <w:tblW w:w="8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808"/>
              <w:gridCol w:w="804"/>
              <w:gridCol w:w="989"/>
              <w:gridCol w:w="1182"/>
              <w:gridCol w:w="1362"/>
              <w:gridCol w:w="2130"/>
              <w:gridCol w:w="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606" w:type="dxa"/>
                  <w:vMerge w:val="restar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tc>
              <w:tc>
                <w:tcPr>
                  <w:tcW w:w="808" w:type="dxa"/>
                  <w:vMerge w:val="restar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污染物名称</w:t>
                  </w:r>
                </w:p>
              </w:tc>
              <w:tc>
                <w:tcPr>
                  <w:tcW w:w="1793" w:type="dxa"/>
                  <w:gridSpan w:val="2"/>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源强</w:t>
                  </w:r>
                </w:p>
              </w:tc>
              <w:tc>
                <w:tcPr>
                  <w:tcW w:w="2544" w:type="dxa"/>
                  <w:gridSpan w:val="2"/>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标准值</w:t>
                  </w:r>
                </w:p>
              </w:tc>
              <w:tc>
                <w:tcPr>
                  <w:tcW w:w="2130" w:type="dxa"/>
                  <w:vMerge w:val="restar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w:t>
                  </w:r>
                </w:p>
              </w:tc>
              <w:tc>
                <w:tcPr>
                  <w:tcW w:w="630" w:type="dxa"/>
                  <w:vMerge w:val="restar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是否达标</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06" w:type="dxa"/>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808" w:type="dxa"/>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804"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排放速率（kg/h）</w:t>
                  </w:r>
                </w:p>
              </w:tc>
              <w:tc>
                <w:tcPr>
                  <w:tcW w:w="989"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排放浓度（mg/m³）</w:t>
                  </w:r>
                </w:p>
              </w:tc>
              <w:tc>
                <w:tcPr>
                  <w:tcW w:w="1182"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排放速率（kg/h）</w:t>
                  </w:r>
                </w:p>
              </w:tc>
              <w:tc>
                <w:tcPr>
                  <w:tcW w:w="1362"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排放浓度（mg/m³）</w:t>
                  </w:r>
                </w:p>
              </w:tc>
              <w:tc>
                <w:tcPr>
                  <w:tcW w:w="2130" w:type="dxa"/>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630" w:type="dxa"/>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06"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P1</w:t>
                  </w:r>
                </w:p>
              </w:tc>
              <w:tc>
                <w:tcPr>
                  <w:tcW w:w="808"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804" w:type="dxa"/>
                  <w:tcMar>
                    <w:left w:w="0" w:type="dxa"/>
                    <w:right w:w="0" w:type="dxa"/>
                  </w:tcMar>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0.013927</w:t>
                  </w:r>
                </w:p>
              </w:tc>
              <w:tc>
                <w:tcPr>
                  <w:tcW w:w="989" w:type="dxa"/>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2.13</w:t>
                  </w:r>
                </w:p>
              </w:tc>
              <w:tc>
                <w:tcPr>
                  <w:tcW w:w="1182" w:type="dxa"/>
                  <w:tcMar>
                    <w:left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4.94</w:t>
                  </w:r>
                </w:p>
              </w:tc>
              <w:tc>
                <w:tcPr>
                  <w:tcW w:w="1362"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w:t>
                  </w:r>
                </w:p>
              </w:tc>
              <w:tc>
                <w:tcPr>
                  <w:tcW w:w="2130"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c>
                <w:tcPr>
                  <w:tcW w:w="630"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06"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P2</w:t>
                  </w:r>
                </w:p>
              </w:tc>
              <w:tc>
                <w:tcPr>
                  <w:tcW w:w="808"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804" w:type="dxa"/>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0.014914</w:t>
                  </w:r>
                </w:p>
              </w:tc>
              <w:tc>
                <w:tcPr>
                  <w:tcW w:w="989" w:type="dxa"/>
                  <w:tcMar>
                    <w:left w:w="0" w:type="dxa"/>
                    <w:right w:w="0" w:type="dxa"/>
                  </w:tcMar>
                  <w:vAlign w:val="center"/>
                </w:tcPr>
                <w:p>
                  <w:pPr>
                    <w:pStyle w:val="73"/>
                    <w:spacing w:line="240" w:lineRule="auto"/>
                    <w:ind w:firstLine="0" w:firstLine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c>
                <w:tcPr>
                  <w:tcW w:w="1182"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4.94</w:t>
                  </w:r>
                </w:p>
              </w:tc>
              <w:tc>
                <w:tcPr>
                  <w:tcW w:w="1362"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w:t>
                  </w:r>
                </w:p>
              </w:tc>
              <w:tc>
                <w:tcPr>
                  <w:tcW w:w="2130"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c>
                <w:tcPr>
                  <w:tcW w:w="630"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06"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P3</w:t>
                  </w:r>
                </w:p>
              </w:tc>
              <w:tc>
                <w:tcPr>
                  <w:tcW w:w="808"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804" w:type="dxa"/>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14162</w:t>
                  </w:r>
                </w:p>
              </w:tc>
              <w:tc>
                <w:tcPr>
                  <w:tcW w:w="989" w:type="dxa"/>
                  <w:tcMar>
                    <w:left w:w="0" w:type="dxa"/>
                    <w:right w:w="0" w:type="dxa"/>
                  </w:tcMar>
                  <w:vAlign w:val="center"/>
                </w:tcPr>
                <w:p>
                  <w:pPr>
                    <w:pStyle w:val="73"/>
                    <w:spacing w:line="240" w:lineRule="auto"/>
                    <w:ind w:firstLine="0" w:firstLine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28.3</w:t>
                  </w:r>
                </w:p>
              </w:tc>
              <w:tc>
                <w:tcPr>
                  <w:tcW w:w="1182"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4.94</w:t>
                  </w:r>
                </w:p>
              </w:tc>
              <w:tc>
                <w:tcPr>
                  <w:tcW w:w="1362"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w:t>
                  </w:r>
                </w:p>
              </w:tc>
              <w:tc>
                <w:tcPr>
                  <w:tcW w:w="2130"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c>
                <w:tcPr>
                  <w:tcW w:w="630"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06"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P4</w:t>
                  </w:r>
                </w:p>
              </w:tc>
              <w:tc>
                <w:tcPr>
                  <w:tcW w:w="808"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804" w:type="dxa"/>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0.014934</w:t>
                  </w:r>
                </w:p>
              </w:tc>
              <w:tc>
                <w:tcPr>
                  <w:tcW w:w="989" w:type="dxa"/>
                  <w:tcMar>
                    <w:left w:w="0" w:type="dxa"/>
                    <w:right w:w="0" w:type="dxa"/>
                  </w:tcMar>
                  <w:vAlign w:val="center"/>
                </w:tcPr>
                <w:p>
                  <w:pPr>
                    <w:pStyle w:val="73"/>
                    <w:spacing w:line="240" w:lineRule="auto"/>
                    <w:ind w:firstLine="0" w:firstLine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c>
                <w:tcPr>
                  <w:tcW w:w="1182"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4.94</w:t>
                  </w:r>
                </w:p>
              </w:tc>
              <w:tc>
                <w:tcPr>
                  <w:tcW w:w="1362"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w:t>
                  </w:r>
                </w:p>
              </w:tc>
              <w:tc>
                <w:tcPr>
                  <w:tcW w:w="2130"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c>
                <w:tcPr>
                  <w:tcW w:w="630"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06"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P5</w:t>
                  </w:r>
                </w:p>
              </w:tc>
              <w:tc>
                <w:tcPr>
                  <w:tcW w:w="808"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804" w:type="dxa"/>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14162</w:t>
                  </w:r>
                </w:p>
              </w:tc>
              <w:tc>
                <w:tcPr>
                  <w:tcW w:w="989" w:type="dxa"/>
                  <w:tcMar>
                    <w:left w:w="0" w:type="dxa"/>
                    <w:right w:w="0" w:type="dxa"/>
                  </w:tcMar>
                  <w:vAlign w:val="center"/>
                </w:tcPr>
                <w:p>
                  <w:pPr>
                    <w:pStyle w:val="73"/>
                    <w:spacing w:line="240" w:lineRule="auto"/>
                    <w:ind w:firstLine="0" w:firstLine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28.3</w:t>
                  </w:r>
                </w:p>
              </w:tc>
              <w:tc>
                <w:tcPr>
                  <w:tcW w:w="1182"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4.94</w:t>
                  </w:r>
                </w:p>
              </w:tc>
              <w:tc>
                <w:tcPr>
                  <w:tcW w:w="1362"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w:t>
                  </w:r>
                </w:p>
              </w:tc>
              <w:tc>
                <w:tcPr>
                  <w:tcW w:w="2130"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c>
                <w:tcPr>
                  <w:tcW w:w="630"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06" w:type="dxa"/>
                  <w:vMerge w:val="restart"/>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w:t>
                  </w:r>
                  <w:r>
                    <w:rPr>
                      <w:rFonts w:hint="eastAsia" w:cs="Times New Roman"/>
                      <w:color w:val="auto"/>
                      <w:sz w:val="21"/>
                      <w:szCs w:val="21"/>
                      <w:highlight w:val="none"/>
                      <w:lang w:val="en-US" w:eastAsia="zh-CN"/>
                    </w:rPr>
                    <w:t>6</w:t>
                  </w:r>
                </w:p>
              </w:tc>
              <w:tc>
                <w:tcPr>
                  <w:tcW w:w="808" w:type="dxa"/>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TRVOC</w:t>
                  </w:r>
                </w:p>
              </w:tc>
              <w:tc>
                <w:tcPr>
                  <w:tcW w:w="804"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0.923</w:t>
                  </w:r>
                </w:p>
              </w:tc>
              <w:tc>
                <w:tcPr>
                  <w:tcW w:w="989"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28.8</w:t>
                  </w:r>
                </w:p>
              </w:tc>
              <w:tc>
                <w:tcPr>
                  <w:tcW w:w="1182" w:type="dxa"/>
                  <w:tcMar>
                    <w:left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362" w:type="dxa"/>
                  <w:tcMar>
                    <w:left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2130" w:type="dxa"/>
                  <w:vMerge w:val="restar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《工业企业挥发性有机物排放控制标准》（DB12/524-2020）</w:t>
                  </w:r>
                </w:p>
              </w:tc>
              <w:tc>
                <w:tcPr>
                  <w:tcW w:w="630"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06" w:type="dxa"/>
                  <w:vMerge w:val="continue"/>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p>
              </w:tc>
              <w:tc>
                <w:tcPr>
                  <w:tcW w:w="808" w:type="dxa"/>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804"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0.923</w:t>
                  </w:r>
                </w:p>
              </w:tc>
              <w:tc>
                <w:tcPr>
                  <w:tcW w:w="989"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28.8</w:t>
                  </w:r>
                </w:p>
              </w:tc>
              <w:tc>
                <w:tcPr>
                  <w:tcW w:w="1182" w:type="dxa"/>
                  <w:tcMar>
                    <w:left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362" w:type="dxa"/>
                  <w:tcMar>
                    <w:left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2130" w:type="dxa"/>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630"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06" w:type="dxa"/>
                  <w:vMerge w:val="continue"/>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p>
              </w:tc>
              <w:tc>
                <w:tcPr>
                  <w:tcW w:w="808" w:type="dxa"/>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二甲苯</w:t>
                  </w:r>
                </w:p>
              </w:tc>
              <w:tc>
                <w:tcPr>
                  <w:tcW w:w="804"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0.485</w:t>
                  </w:r>
                </w:p>
              </w:tc>
              <w:tc>
                <w:tcPr>
                  <w:tcW w:w="989"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15.2</w:t>
                  </w:r>
                </w:p>
              </w:tc>
              <w:tc>
                <w:tcPr>
                  <w:tcW w:w="1182" w:type="dxa"/>
                  <w:tcMar>
                    <w:left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362" w:type="dxa"/>
                  <w:tcMar>
                    <w:left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130" w:type="dxa"/>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630"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06" w:type="dxa"/>
                  <w:vMerge w:val="continue"/>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p>
              </w:tc>
              <w:tc>
                <w:tcPr>
                  <w:tcW w:w="808" w:type="dxa"/>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乙苯</w:t>
                  </w:r>
                </w:p>
              </w:tc>
              <w:tc>
                <w:tcPr>
                  <w:tcW w:w="804"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0.104</w:t>
                  </w:r>
                </w:p>
              </w:tc>
              <w:tc>
                <w:tcPr>
                  <w:tcW w:w="989" w:type="dxa"/>
                  <w:tcMar>
                    <w:left w:w="0" w:type="dxa"/>
                    <w:right w:w="0" w:type="dxa"/>
                  </w:tcMar>
                  <w:vAlign w:val="center"/>
                </w:tcPr>
                <w:p>
                  <w:pPr>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w:t>
                  </w:r>
                </w:p>
              </w:tc>
              <w:tc>
                <w:tcPr>
                  <w:tcW w:w="1182" w:type="dxa"/>
                  <w:tcMar>
                    <w:left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p>
              </w:tc>
              <w:tc>
                <w:tcPr>
                  <w:tcW w:w="1362" w:type="dxa"/>
                  <w:tcMar>
                    <w:left w:w="0" w:type="dxa"/>
                    <w:right w:w="0"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130" w:type="dxa"/>
                  <w:vMerge w:val="restar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《恶臭污染物排放标准》（DB12/059-2018）</w:t>
                  </w:r>
                </w:p>
              </w:tc>
              <w:tc>
                <w:tcPr>
                  <w:tcW w:w="630"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06" w:type="dxa"/>
                  <w:vMerge w:val="continue"/>
                  <w:tcMar>
                    <w:left w:w="0" w:type="dxa"/>
                    <w:right w:w="0" w:type="dxa"/>
                  </w:tcMar>
                  <w:vAlign w:val="center"/>
                </w:tcPr>
                <w:p>
                  <w:pPr>
                    <w:spacing w:before="100" w:beforeAutospacing="1" w:after="100" w:afterAutospacing="1"/>
                    <w:jc w:val="center"/>
                    <w:rPr>
                      <w:rFonts w:hint="default" w:ascii="Times New Roman" w:hAnsi="Times New Roman" w:cs="Times New Roman"/>
                      <w:color w:val="auto"/>
                      <w:sz w:val="21"/>
                      <w:szCs w:val="21"/>
                      <w:highlight w:val="none"/>
                    </w:rPr>
                  </w:pPr>
                </w:p>
              </w:tc>
              <w:tc>
                <w:tcPr>
                  <w:tcW w:w="808" w:type="dxa"/>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臭气浓度</w:t>
                  </w:r>
                </w:p>
              </w:tc>
              <w:tc>
                <w:tcPr>
                  <w:tcW w:w="1793" w:type="dxa"/>
                  <w:gridSpan w:val="2"/>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416</w:t>
                  </w:r>
                  <w:r>
                    <w:rPr>
                      <w:rFonts w:hint="default" w:ascii="Times New Roman" w:hAnsi="Times New Roman" w:cs="Times New Roman"/>
                      <w:color w:val="auto"/>
                      <w:sz w:val="21"/>
                      <w:szCs w:val="21"/>
                      <w:highlight w:val="none"/>
                    </w:rPr>
                    <w:t>（无量纲）</w:t>
                  </w:r>
                </w:p>
              </w:tc>
              <w:tc>
                <w:tcPr>
                  <w:tcW w:w="2544" w:type="dxa"/>
                  <w:gridSpan w:val="2"/>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kern w:val="2"/>
                      <w:sz w:val="21"/>
                      <w:szCs w:val="21"/>
                      <w:highlight w:val="none"/>
                    </w:rPr>
                    <w:t>1000（无量纲）</w:t>
                  </w:r>
                </w:p>
              </w:tc>
              <w:tc>
                <w:tcPr>
                  <w:tcW w:w="2130" w:type="dxa"/>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630" w:type="dxa"/>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r>
          </w:tbl>
          <w:p>
            <w:pPr>
              <w:wordWrap w:val="0"/>
              <w:spacing w:line="360" w:lineRule="auto"/>
              <w:ind w:firstLine="480" w:firstLineChars="200"/>
              <w:rPr>
                <w:rFonts w:hint="default" w:ascii="Times New Roman" w:hAnsi="Times New Roman" w:cs="Times New Roman"/>
                <w:color w:val="auto"/>
                <w:szCs w:val="22"/>
                <w:highlight w:val="none"/>
              </w:rPr>
            </w:pPr>
            <w:r>
              <w:rPr>
                <w:rFonts w:hint="default" w:ascii="Times New Roman" w:hAnsi="Times New Roman" w:cs="Times New Roman"/>
                <w:color w:val="auto"/>
                <w:szCs w:val="24"/>
                <w:highlight w:val="none"/>
              </w:rPr>
              <w:t>由上表可知，</w:t>
            </w:r>
            <w:r>
              <w:rPr>
                <w:rFonts w:hint="default" w:ascii="Times New Roman" w:hAnsi="Times New Roman" w:cs="Times New Roman"/>
                <w:color w:val="auto"/>
                <w:szCs w:val="22"/>
                <w:highlight w:val="none"/>
              </w:rPr>
              <w:t>本项目排气筒P1</w:t>
            </w:r>
            <w:r>
              <w:rPr>
                <w:rFonts w:hint="eastAsia" w:cs="Times New Roman"/>
                <w:color w:val="auto"/>
                <w:szCs w:val="22"/>
                <w:highlight w:val="none"/>
                <w:lang w:val="en-US" w:eastAsia="zh-CN"/>
              </w:rPr>
              <w:t>—P5</w:t>
            </w:r>
            <w:r>
              <w:rPr>
                <w:rFonts w:hint="default" w:ascii="Times New Roman" w:hAnsi="Times New Roman" w:cs="Times New Roman"/>
                <w:color w:val="auto"/>
                <w:szCs w:val="22"/>
                <w:highlight w:val="none"/>
              </w:rPr>
              <w:t>排放的颗粒物排放浓度、排放速率满足</w:t>
            </w:r>
            <w:r>
              <w:rPr>
                <w:rFonts w:hint="default" w:ascii="Times New Roman" w:hAnsi="Times New Roman" w:cs="Times New Roman"/>
                <w:color w:val="auto"/>
                <w:highlight w:val="none"/>
              </w:rPr>
              <w:t>《大气污染物综合排放标准》（GB16297-1996）表2颗粒物（其他）排放限值要求。</w:t>
            </w:r>
          </w:p>
          <w:p>
            <w:pPr>
              <w:wordWrap w:val="0"/>
              <w:spacing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2"/>
                <w:highlight w:val="none"/>
              </w:rPr>
              <w:t>本项目排气筒P</w:t>
            </w:r>
            <w:r>
              <w:rPr>
                <w:rFonts w:hint="eastAsia" w:cs="Times New Roman"/>
                <w:color w:val="auto"/>
                <w:szCs w:val="22"/>
                <w:highlight w:val="none"/>
                <w:lang w:val="en-US" w:eastAsia="zh-CN"/>
              </w:rPr>
              <w:t>6</w:t>
            </w:r>
            <w:r>
              <w:rPr>
                <w:rFonts w:hint="default" w:ascii="Times New Roman" w:hAnsi="Times New Roman" w:cs="Times New Roman"/>
                <w:color w:val="auto"/>
                <w:szCs w:val="22"/>
                <w:highlight w:val="none"/>
              </w:rPr>
              <w:t>排放的TRVOC、非甲烷总烃、二甲苯满足《工业企业挥发性有机物排放控制标准》（DB12/524-2020）</w:t>
            </w:r>
            <w:r>
              <w:rPr>
                <w:rFonts w:hint="default" w:ascii="Times New Roman" w:hAnsi="Times New Roman" w:cs="Times New Roman"/>
                <w:color w:val="auto"/>
                <w:szCs w:val="24"/>
                <w:highlight w:val="none"/>
              </w:rPr>
              <w:t>表1</w:t>
            </w:r>
            <w:r>
              <w:rPr>
                <w:rFonts w:hint="default" w:ascii="Times New Roman" w:hAnsi="Times New Roman" w:cs="Times New Roman" w:eastAsiaTheme="minorEastAsia"/>
                <w:color w:val="auto"/>
                <w:szCs w:val="24"/>
                <w:highlight w:val="none"/>
              </w:rPr>
              <w:t>“</w:t>
            </w:r>
            <w:r>
              <w:rPr>
                <w:rFonts w:hint="eastAsia" w:cs="Times New Roman" w:eastAsiaTheme="minorEastAsia"/>
                <w:color w:val="auto"/>
                <w:szCs w:val="24"/>
                <w:highlight w:val="none"/>
                <w:lang w:val="en-US" w:eastAsia="zh-CN"/>
              </w:rPr>
              <w:t>表面涂装</w:t>
            </w:r>
            <w:r>
              <w:rPr>
                <w:rFonts w:hint="default" w:ascii="Times New Roman" w:hAnsi="Times New Roman" w:cs="Times New Roman" w:eastAsiaTheme="minorEastAsia"/>
                <w:color w:val="auto"/>
                <w:szCs w:val="24"/>
                <w:highlight w:val="none"/>
              </w:rPr>
              <w:t>”</w:t>
            </w:r>
            <w:r>
              <w:rPr>
                <w:rFonts w:hint="default" w:ascii="Times New Roman" w:hAnsi="Times New Roman" w:cs="Times New Roman"/>
                <w:color w:val="auto"/>
                <w:szCs w:val="24"/>
                <w:highlight w:val="none"/>
              </w:rPr>
              <w:t>行业相关标准限值要求；</w:t>
            </w:r>
            <w:r>
              <w:rPr>
                <w:rFonts w:hint="default" w:ascii="Times New Roman" w:hAnsi="Times New Roman" w:cs="Times New Roman"/>
                <w:color w:val="auto"/>
                <w:highlight w:val="none"/>
              </w:rPr>
              <w:t>排放的臭气浓度、</w:t>
            </w:r>
            <w:r>
              <w:rPr>
                <w:rFonts w:hint="eastAsia" w:cs="Times New Roman"/>
                <w:color w:val="auto"/>
                <w:highlight w:val="none"/>
                <w:lang w:val="en-US" w:eastAsia="zh-CN"/>
              </w:rPr>
              <w:t>乙苯</w:t>
            </w:r>
            <w:r>
              <w:rPr>
                <w:rFonts w:hint="default" w:ascii="Times New Roman" w:hAnsi="Times New Roman" w:cs="Times New Roman"/>
                <w:color w:val="auto"/>
                <w:highlight w:val="none"/>
              </w:rPr>
              <w:t>满足</w:t>
            </w:r>
            <w:r>
              <w:rPr>
                <w:rFonts w:hint="default" w:ascii="Times New Roman" w:hAnsi="Times New Roman" w:cs="Times New Roman"/>
                <w:color w:val="auto"/>
                <w:szCs w:val="24"/>
                <w:highlight w:val="none"/>
              </w:rPr>
              <w:t>《恶臭污染物排放标准》（DB12/-059-2018）排放限值要求。</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（2）废气无组织排放分析</w:t>
            </w:r>
          </w:p>
          <w:p>
            <w:pPr>
              <w:pStyle w:val="73"/>
              <w:ind w:firstLine="480"/>
              <w:rPr>
                <w:rFonts w:hint="default" w:ascii="Times New Roman" w:hAnsi="Times New Roman" w:cs="Times New Roman"/>
                <w:color w:val="auto"/>
                <w:sz w:val="21"/>
                <w:szCs w:val="21"/>
                <w:highlight w:val="none"/>
              </w:rPr>
            </w:pPr>
            <w:r>
              <w:rPr>
                <w:rFonts w:hint="default" w:ascii="Times New Roman" w:hAnsi="Times New Roman" w:cs="Times New Roman"/>
                <w:color w:val="auto"/>
                <w:kern w:val="24"/>
                <w:highlight w:val="none"/>
              </w:rPr>
              <w:t>本项目</w:t>
            </w:r>
            <w:r>
              <w:rPr>
                <w:rFonts w:hint="eastAsia" w:cs="Times New Roman"/>
                <w:color w:val="auto"/>
                <w:kern w:val="24"/>
                <w:highlight w:val="none"/>
                <w:lang w:val="en-US" w:eastAsia="zh-CN"/>
              </w:rPr>
              <w:t>切割、焊接、抛丸</w:t>
            </w:r>
            <w:r>
              <w:rPr>
                <w:rFonts w:hint="default" w:ascii="Times New Roman" w:hAnsi="Times New Roman" w:cs="Times New Roman"/>
                <w:color w:val="auto"/>
                <w:kern w:val="24"/>
                <w:highlight w:val="none"/>
              </w:rPr>
              <w:t>工序</w:t>
            </w:r>
            <w:r>
              <w:rPr>
                <w:rFonts w:hint="default" w:ascii="Times New Roman" w:hAnsi="Times New Roman" w:cs="Times New Roman"/>
                <w:color w:val="auto"/>
                <w:szCs w:val="24"/>
                <w:highlight w:val="none"/>
              </w:rPr>
              <w:t>存在颗粒物无组织排放</w:t>
            </w:r>
            <w:r>
              <w:rPr>
                <w:rFonts w:hint="eastAsia" w:cs="Times New Roman"/>
                <w:color w:val="auto"/>
                <w:szCs w:val="24"/>
                <w:highlight w:val="none"/>
                <w:lang w:eastAsia="zh-CN"/>
              </w:rPr>
              <w:t>，</w:t>
            </w:r>
            <w:r>
              <w:rPr>
                <w:rFonts w:hint="eastAsia" w:cs="Times New Roman"/>
                <w:color w:val="auto"/>
                <w:szCs w:val="24"/>
                <w:highlight w:val="none"/>
                <w:lang w:val="en-US" w:eastAsia="zh-CN"/>
              </w:rPr>
              <w:t>喷漆、调漆、晾干工序存在挥发性有机物无组织排放</w:t>
            </w:r>
            <w:r>
              <w:rPr>
                <w:rFonts w:hint="default" w:ascii="Times New Roman" w:hAnsi="Times New Roman" w:cs="Times New Roman"/>
                <w:color w:val="auto"/>
                <w:szCs w:val="24"/>
                <w:highlight w:val="none"/>
              </w:rPr>
              <w:t>。</w:t>
            </w:r>
            <w:r>
              <w:rPr>
                <w:rFonts w:hint="default" w:ascii="Times New Roman" w:hAnsi="Times New Roman" w:cs="Times New Roman"/>
                <w:color w:val="auto"/>
                <w:kern w:val="24"/>
                <w:highlight w:val="none"/>
              </w:rPr>
              <w:t>车间面源参数见下表。</w:t>
            </w:r>
          </w:p>
          <w:p>
            <w:pPr>
              <w:pStyle w:val="7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 4-1</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 xml:space="preserve"> 废气污染源（面源）排放参数</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2"/>
              <w:gridCol w:w="678"/>
              <w:gridCol w:w="1347"/>
              <w:gridCol w:w="1236"/>
              <w:gridCol w:w="505"/>
              <w:gridCol w:w="471"/>
              <w:gridCol w:w="689"/>
              <w:gridCol w:w="689"/>
              <w:gridCol w:w="838"/>
              <w:gridCol w:w="571"/>
              <w:gridCol w:w="827"/>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atLeast"/>
                <w:jc w:val="center"/>
              </w:trPr>
              <w:tc>
                <w:tcPr>
                  <w:tcW w:w="144" w:type="pct"/>
                  <w:vAlign w:val="center"/>
                </w:tcPr>
                <w:p>
                  <w:pPr>
                    <w:keepLines/>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编号</w:t>
                  </w:r>
                </w:p>
              </w:tc>
              <w:tc>
                <w:tcPr>
                  <w:tcW w:w="373" w:type="pct"/>
                  <w:vAlign w:val="center"/>
                </w:tcPr>
                <w:p>
                  <w:pPr>
                    <w:keepLines/>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面源</w:t>
                  </w:r>
                </w:p>
                <w:p>
                  <w:pPr>
                    <w:keepLines/>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名称</w:t>
                  </w:r>
                </w:p>
              </w:tc>
              <w:tc>
                <w:tcPr>
                  <w:tcW w:w="1421" w:type="pct"/>
                  <w:gridSpan w:val="2"/>
                  <w:vAlign w:val="center"/>
                </w:tcPr>
                <w:p>
                  <w:pPr>
                    <w:keepLines/>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en-GB"/>
                    </w:rPr>
                    <w:t>X 坐标/ Y 坐标</w:t>
                  </w:r>
                </w:p>
              </w:tc>
              <w:tc>
                <w:tcPr>
                  <w:tcW w:w="278" w:type="pct"/>
                  <w:vAlign w:val="center"/>
                </w:tcPr>
                <w:p>
                  <w:pPr>
                    <w:keepLines/>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面源长度/m</w:t>
                  </w:r>
                </w:p>
              </w:tc>
              <w:tc>
                <w:tcPr>
                  <w:tcW w:w="259" w:type="pct"/>
                  <w:vAlign w:val="center"/>
                </w:tcPr>
                <w:p>
                  <w:pPr>
                    <w:keepLines/>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面源宽度/m</w:t>
                  </w:r>
                </w:p>
              </w:tc>
              <w:tc>
                <w:tcPr>
                  <w:tcW w:w="379" w:type="pct"/>
                  <w:vAlign w:val="center"/>
                </w:tcPr>
                <w:p>
                  <w:pPr>
                    <w:keepLines/>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与正北向夹角/°</w:t>
                  </w:r>
                </w:p>
              </w:tc>
              <w:tc>
                <w:tcPr>
                  <w:tcW w:w="379" w:type="pct"/>
                  <w:vAlign w:val="center"/>
                </w:tcPr>
                <w:p>
                  <w:pPr>
                    <w:keepLines/>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面源有效排放高度/m</w:t>
                  </w:r>
                </w:p>
              </w:tc>
              <w:tc>
                <w:tcPr>
                  <w:tcW w:w="461" w:type="pct"/>
                  <w:vAlign w:val="center"/>
                </w:tcPr>
                <w:p>
                  <w:pPr>
                    <w:keepLines/>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年排放小时数/h</w:t>
                  </w:r>
                </w:p>
              </w:tc>
              <w:tc>
                <w:tcPr>
                  <w:tcW w:w="314" w:type="pct"/>
                  <w:vAlign w:val="center"/>
                </w:tcPr>
                <w:p>
                  <w:pPr>
                    <w:keepLines/>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排放</w:t>
                  </w:r>
                </w:p>
                <w:p>
                  <w:pPr>
                    <w:keepLines/>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工况</w:t>
                  </w:r>
                </w:p>
              </w:tc>
              <w:tc>
                <w:tcPr>
                  <w:tcW w:w="987" w:type="pct"/>
                  <w:gridSpan w:val="2"/>
                  <w:vAlign w:val="center"/>
                </w:tcPr>
                <w:p>
                  <w:pPr>
                    <w:keepLines/>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144" w:type="pct"/>
                  <w:vMerge w:val="restart"/>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w:t>
                  </w:r>
                </w:p>
              </w:tc>
              <w:tc>
                <w:tcPr>
                  <w:tcW w:w="373" w:type="pct"/>
                  <w:vMerge w:val="restart"/>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生产</w:t>
                  </w:r>
                  <w:r>
                    <w:rPr>
                      <w:rFonts w:hint="default" w:ascii="Times New Roman" w:hAnsi="Times New Roman" w:cs="Times New Roman"/>
                      <w:bCs/>
                      <w:color w:val="auto"/>
                      <w:sz w:val="21"/>
                      <w:szCs w:val="21"/>
                      <w:highlight w:val="none"/>
                    </w:rPr>
                    <w:t>车间</w:t>
                  </w:r>
                  <w:r>
                    <w:rPr>
                      <w:rFonts w:hint="eastAsia" w:cs="Times New Roman"/>
                      <w:bCs/>
                      <w:color w:val="auto"/>
                      <w:sz w:val="21"/>
                      <w:szCs w:val="21"/>
                      <w:highlight w:val="none"/>
                      <w:lang w:val="en-US" w:eastAsia="zh-CN"/>
                    </w:rPr>
                    <w:t>1、生产</w:t>
                  </w:r>
                  <w:r>
                    <w:rPr>
                      <w:rFonts w:hint="default" w:ascii="Times New Roman" w:hAnsi="Times New Roman" w:cs="Times New Roman"/>
                      <w:bCs/>
                      <w:color w:val="auto"/>
                      <w:sz w:val="21"/>
                      <w:szCs w:val="21"/>
                      <w:highlight w:val="none"/>
                    </w:rPr>
                    <w:t>车间</w:t>
                  </w:r>
                  <w:r>
                    <w:rPr>
                      <w:rFonts w:hint="eastAsia" w:ascii="Times New Roman" w:hAnsi="Times New Roman" w:cs="Times New Roman"/>
                      <w:bCs/>
                      <w:color w:val="auto"/>
                      <w:sz w:val="21"/>
                      <w:szCs w:val="21"/>
                      <w:highlight w:val="none"/>
                      <w:lang w:val="en-US" w:eastAsia="zh-CN"/>
                    </w:rPr>
                    <w:t>2</w:t>
                  </w:r>
                </w:p>
              </w:tc>
              <w:tc>
                <w:tcPr>
                  <w:tcW w:w="741" w:type="pct"/>
                  <w:vMerge w:val="restar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117.458723°</w:t>
                  </w:r>
                </w:p>
              </w:tc>
              <w:tc>
                <w:tcPr>
                  <w:tcW w:w="680" w:type="pct"/>
                  <w:vMerge w:val="restar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38.818788°</w:t>
                  </w:r>
                </w:p>
              </w:tc>
              <w:tc>
                <w:tcPr>
                  <w:tcW w:w="278" w:type="pct"/>
                  <w:vMerge w:val="restar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350</w:t>
                  </w:r>
                </w:p>
              </w:tc>
              <w:tc>
                <w:tcPr>
                  <w:tcW w:w="259" w:type="pct"/>
                  <w:vMerge w:val="restar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41.5</w:t>
                  </w:r>
                </w:p>
              </w:tc>
              <w:tc>
                <w:tcPr>
                  <w:tcW w:w="379" w:type="pct"/>
                  <w:vMerge w:val="restart"/>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379" w:type="pct"/>
                  <w:vMerge w:val="restar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1.6</w:t>
                  </w:r>
                </w:p>
              </w:tc>
              <w:tc>
                <w:tcPr>
                  <w:tcW w:w="461" w:type="pc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1800</w:t>
                  </w:r>
                </w:p>
              </w:tc>
              <w:tc>
                <w:tcPr>
                  <w:tcW w:w="314" w:type="pct"/>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正常</w:t>
                  </w:r>
                </w:p>
              </w:tc>
              <w:tc>
                <w:tcPr>
                  <w:tcW w:w="455" w:type="pct"/>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颗粒物</w:t>
                  </w:r>
                </w:p>
              </w:tc>
              <w:tc>
                <w:tcPr>
                  <w:tcW w:w="531" w:type="pct"/>
                  <w:vAlign w:val="center"/>
                </w:tcPr>
                <w:p>
                  <w:pPr>
                    <w:pStyle w:val="73"/>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0.33438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144" w:type="pct"/>
                  <w:vMerge w:val="continue"/>
                  <w:vAlign w:val="center"/>
                </w:tcPr>
                <w:p>
                  <w:pPr>
                    <w:jc w:val="center"/>
                    <w:rPr>
                      <w:rFonts w:hint="default" w:ascii="Times New Roman" w:hAnsi="Times New Roman" w:cs="Times New Roman"/>
                      <w:bCs/>
                      <w:color w:val="auto"/>
                      <w:sz w:val="21"/>
                      <w:szCs w:val="21"/>
                      <w:highlight w:val="none"/>
                    </w:rPr>
                  </w:pPr>
                </w:p>
              </w:tc>
              <w:tc>
                <w:tcPr>
                  <w:tcW w:w="373" w:type="pct"/>
                  <w:vMerge w:val="continue"/>
                  <w:vAlign w:val="center"/>
                </w:tcPr>
                <w:p>
                  <w:pPr>
                    <w:jc w:val="center"/>
                    <w:rPr>
                      <w:rFonts w:hint="eastAsia" w:cs="Times New Roman"/>
                      <w:bCs/>
                      <w:color w:val="auto"/>
                      <w:sz w:val="21"/>
                      <w:szCs w:val="21"/>
                      <w:highlight w:val="none"/>
                      <w:lang w:val="en-US" w:eastAsia="zh-CN"/>
                    </w:rPr>
                  </w:pPr>
                </w:p>
              </w:tc>
              <w:tc>
                <w:tcPr>
                  <w:tcW w:w="741" w:type="pct"/>
                  <w:vMerge w:val="continue"/>
                  <w:vAlign w:val="center"/>
                </w:tcPr>
                <w:p>
                  <w:pPr>
                    <w:jc w:val="center"/>
                    <w:rPr>
                      <w:rFonts w:hint="default" w:ascii="Times New Roman" w:hAnsi="Times New Roman" w:cs="Times New Roman"/>
                      <w:bCs/>
                      <w:color w:val="auto"/>
                      <w:sz w:val="21"/>
                      <w:szCs w:val="21"/>
                      <w:highlight w:val="none"/>
                    </w:rPr>
                  </w:pPr>
                </w:p>
              </w:tc>
              <w:tc>
                <w:tcPr>
                  <w:tcW w:w="680" w:type="pct"/>
                  <w:vMerge w:val="continue"/>
                  <w:vAlign w:val="center"/>
                </w:tcPr>
                <w:p>
                  <w:pPr>
                    <w:jc w:val="center"/>
                    <w:rPr>
                      <w:rFonts w:hint="default" w:ascii="Times New Roman" w:hAnsi="Times New Roman" w:cs="Times New Roman"/>
                      <w:color w:val="auto"/>
                      <w:sz w:val="21"/>
                      <w:szCs w:val="21"/>
                      <w:highlight w:val="none"/>
                    </w:rPr>
                  </w:pPr>
                </w:p>
              </w:tc>
              <w:tc>
                <w:tcPr>
                  <w:tcW w:w="278" w:type="pct"/>
                  <w:vMerge w:val="continue"/>
                  <w:vAlign w:val="center"/>
                </w:tcPr>
                <w:p>
                  <w:pPr>
                    <w:jc w:val="center"/>
                    <w:rPr>
                      <w:rFonts w:hint="default" w:ascii="Times New Roman" w:hAnsi="Times New Roman" w:cs="Times New Roman"/>
                      <w:bCs/>
                      <w:color w:val="auto"/>
                      <w:sz w:val="21"/>
                      <w:szCs w:val="21"/>
                      <w:highlight w:val="none"/>
                    </w:rPr>
                  </w:pPr>
                </w:p>
              </w:tc>
              <w:tc>
                <w:tcPr>
                  <w:tcW w:w="259" w:type="pct"/>
                  <w:vMerge w:val="continue"/>
                  <w:vAlign w:val="center"/>
                </w:tcPr>
                <w:p>
                  <w:pPr>
                    <w:jc w:val="center"/>
                    <w:rPr>
                      <w:rFonts w:hint="default" w:ascii="Times New Roman" w:hAnsi="Times New Roman" w:cs="Times New Roman"/>
                      <w:bCs/>
                      <w:color w:val="auto"/>
                      <w:sz w:val="21"/>
                      <w:szCs w:val="21"/>
                      <w:highlight w:val="none"/>
                    </w:rPr>
                  </w:pPr>
                </w:p>
              </w:tc>
              <w:tc>
                <w:tcPr>
                  <w:tcW w:w="379" w:type="pct"/>
                  <w:vMerge w:val="continue"/>
                  <w:vAlign w:val="center"/>
                </w:tcPr>
                <w:p>
                  <w:pPr>
                    <w:jc w:val="center"/>
                    <w:rPr>
                      <w:rFonts w:hint="default" w:ascii="Times New Roman" w:hAnsi="Times New Roman" w:cs="Times New Roman"/>
                      <w:bCs/>
                      <w:color w:val="auto"/>
                      <w:sz w:val="21"/>
                      <w:szCs w:val="21"/>
                      <w:highlight w:val="none"/>
                    </w:rPr>
                  </w:pPr>
                </w:p>
              </w:tc>
              <w:tc>
                <w:tcPr>
                  <w:tcW w:w="379" w:type="pct"/>
                  <w:vMerge w:val="continue"/>
                  <w:vAlign w:val="center"/>
                </w:tcPr>
                <w:p>
                  <w:pPr>
                    <w:jc w:val="center"/>
                    <w:rPr>
                      <w:rFonts w:hint="eastAsia" w:ascii="Times New Roman" w:hAnsi="Times New Roman" w:eastAsia="宋体" w:cs="Times New Roman"/>
                      <w:bCs/>
                      <w:color w:val="auto"/>
                      <w:sz w:val="21"/>
                      <w:szCs w:val="21"/>
                      <w:highlight w:val="none"/>
                      <w:lang w:val="en-US" w:eastAsia="zh-CN"/>
                    </w:rPr>
                  </w:pPr>
                </w:p>
              </w:tc>
              <w:tc>
                <w:tcPr>
                  <w:tcW w:w="461" w:type="pc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4800</w:t>
                  </w:r>
                </w:p>
              </w:tc>
              <w:tc>
                <w:tcPr>
                  <w:tcW w:w="314" w:type="pct"/>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正常</w:t>
                  </w:r>
                </w:p>
              </w:tc>
              <w:tc>
                <w:tcPr>
                  <w:tcW w:w="455" w:type="pc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非甲烷总烃</w:t>
                  </w:r>
                </w:p>
              </w:tc>
              <w:tc>
                <w:tcPr>
                  <w:tcW w:w="531" w:type="pct"/>
                  <w:vAlign w:val="center"/>
                </w:tcPr>
                <w:p>
                  <w:pPr>
                    <w:pStyle w:val="73"/>
                    <w:spacing w:line="240" w:lineRule="auto"/>
                    <w:ind w:firstLine="0" w:firstLineChars="0"/>
                    <w:jc w:val="center"/>
                    <w:rPr>
                      <w:rFonts w:hint="default" w:ascii="Times New Roman" w:hAnsi="Times New Roman" w:cs="Times New Roman"/>
                      <w:bCs/>
                      <w:color w:val="auto"/>
                      <w:sz w:val="21"/>
                      <w:szCs w:val="21"/>
                      <w:highlight w:val="none"/>
                      <w:lang w:val="en-US"/>
                    </w:rPr>
                  </w:pPr>
                  <w:r>
                    <w:rPr>
                      <w:rFonts w:hint="eastAsia" w:cs="Times New Roman"/>
                      <w:color w:val="auto"/>
                      <w:sz w:val="21"/>
                      <w:szCs w:val="21"/>
                      <w:highlight w:val="none"/>
                      <w:lang w:val="en-US" w:eastAsia="zh-CN"/>
                    </w:rPr>
                    <w:t>0.1569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144" w:type="pct"/>
                  <w:vMerge w:val="continue"/>
                  <w:vAlign w:val="center"/>
                </w:tcPr>
                <w:p>
                  <w:pPr>
                    <w:jc w:val="center"/>
                    <w:rPr>
                      <w:rFonts w:hint="default" w:ascii="Times New Roman" w:hAnsi="Times New Roman" w:cs="Times New Roman"/>
                      <w:bCs/>
                      <w:color w:val="auto"/>
                      <w:sz w:val="21"/>
                      <w:szCs w:val="21"/>
                      <w:highlight w:val="none"/>
                    </w:rPr>
                  </w:pPr>
                </w:p>
              </w:tc>
              <w:tc>
                <w:tcPr>
                  <w:tcW w:w="373" w:type="pct"/>
                  <w:vMerge w:val="continue"/>
                  <w:vAlign w:val="center"/>
                </w:tcPr>
                <w:p>
                  <w:pPr>
                    <w:jc w:val="center"/>
                    <w:rPr>
                      <w:rFonts w:hint="eastAsia" w:cs="Times New Roman"/>
                      <w:bCs/>
                      <w:color w:val="auto"/>
                      <w:sz w:val="21"/>
                      <w:szCs w:val="21"/>
                      <w:highlight w:val="none"/>
                      <w:lang w:val="en-US" w:eastAsia="zh-CN"/>
                    </w:rPr>
                  </w:pPr>
                </w:p>
              </w:tc>
              <w:tc>
                <w:tcPr>
                  <w:tcW w:w="741" w:type="pct"/>
                  <w:vMerge w:val="continue"/>
                  <w:vAlign w:val="center"/>
                </w:tcPr>
                <w:p>
                  <w:pPr>
                    <w:jc w:val="center"/>
                    <w:rPr>
                      <w:rFonts w:hint="default" w:ascii="Times New Roman" w:hAnsi="Times New Roman" w:cs="Times New Roman"/>
                      <w:bCs/>
                      <w:color w:val="auto"/>
                      <w:sz w:val="21"/>
                      <w:szCs w:val="21"/>
                      <w:highlight w:val="none"/>
                    </w:rPr>
                  </w:pPr>
                </w:p>
              </w:tc>
              <w:tc>
                <w:tcPr>
                  <w:tcW w:w="680" w:type="pct"/>
                  <w:vMerge w:val="continue"/>
                  <w:vAlign w:val="center"/>
                </w:tcPr>
                <w:p>
                  <w:pPr>
                    <w:jc w:val="center"/>
                    <w:rPr>
                      <w:rFonts w:hint="default" w:ascii="Times New Roman" w:hAnsi="Times New Roman" w:cs="Times New Roman"/>
                      <w:color w:val="auto"/>
                      <w:sz w:val="21"/>
                      <w:szCs w:val="21"/>
                      <w:highlight w:val="none"/>
                    </w:rPr>
                  </w:pPr>
                </w:p>
              </w:tc>
              <w:tc>
                <w:tcPr>
                  <w:tcW w:w="278" w:type="pct"/>
                  <w:vMerge w:val="continue"/>
                  <w:vAlign w:val="center"/>
                </w:tcPr>
                <w:p>
                  <w:pPr>
                    <w:jc w:val="center"/>
                    <w:rPr>
                      <w:rFonts w:hint="default" w:ascii="Times New Roman" w:hAnsi="Times New Roman" w:cs="Times New Roman"/>
                      <w:bCs/>
                      <w:color w:val="auto"/>
                      <w:sz w:val="21"/>
                      <w:szCs w:val="21"/>
                      <w:highlight w:val="none"/>
                    </w:rPr>
                  </w:pPr>
                </w:p>
              </w:tc>
              <w:tc>
                <w:tcPr>
                  <w:tcW w:w="259" w:type="pct"/>
                  <w:vMerge w:val="continue"/>
                  <w:vAlign w:val="center"/>
                </w:tcPr>
                <w:p>
                  <w:pPr>
                    <w:jc w:val="center"/>
                    <w:rPr>
                      <w:rFonts w:hint="default" w:ascii="Times New Roman" w:hAnsi="Times New Roman" w:cs="Times New Roman"/>
                      <w:bCs/>
                      <w:color w:val="auto"/>
                      <w:sz w:val="21"/>
                      <w:szCs w:val="21"/>
                      <w:highlight w:val="none"/>
                    </w:rPr>
                  </w:pPr>
                </w:p>
              </w:tc>
              <w:tc>
                <w:tcPr>
                  <w:tcW w:w="379" w:type="pct"/>
                  <w:vMerge w:val="continue"/>
                  <w:vAlign w:val="center"/>
                </w:tcPr>
                <w:p>
                  <w:pPr>
                    <w:jc w:val="center"/>
                    <w:rPr>
                      <w:rFonts w:hint="default" w:ascii="Times New Roman" w:hAnsi="Times New Roman" w:cs="Times New Roman"/>
                      <w:bCs/>
                      <w:color w:val="auto"/>
                      <w:sz w:val="21"/>
                      <w:szCs w:val="21"/>
                      <w:highlight w:val="none"/>
                    </w:rPr>
                  </w:pPr>
                </w:p>
              </w:tc>
              <w:tc>
                <w:tcPr>
                  <w:tcW w:w="379" w:type="pct"/>
                  <w:vMerge w:val="continue"/>
                  <w:vAlign w:val="center"/>
                </w:tcPr>
                <w:p>
                  <w:pPr>
                    <w:jc w:val="center"/>
                    <w:rPr>
                      <w:rFonts w:hint="eastAsia" w:ascii="Times New Roman" w:hAnsi="Times New Roman" w:eastAsia="宋体" w:cs="Times New Roman"/>
                      <w:bCs/>
                      <w:color w:val="auto"/>
                      <w:sz w:val="21"/>
                      <w:szCs w:val="21"/>
                      <w:highlight w:val="none"/>
                      <w:lang w:val="en-US" w:eastAsia="zh-CN"/>
                    </w:rPr>
                  </w:pPr>
                </w:p>
              </w:tc>
              <w:tc>
                <w:tcPr>
                  <w:tcW w:w="461" w:type="pc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1200</w:t>
                  </w:r>
                </w:p>
              </w:tc>
              <w:tc>
                <w:tcPr>
                  <w:tcW w:w="314" w:type="pct"/>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正常</w:t>
                  </w:r>
                </w:p>
              </w:tc>
              <w:tc>
                <w:tcPr>
                  <w:tcW w:w="455" w:type="pct"/>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二甲苯</w:t>
                  </w:r>
                </w:p>
              </w:tc>
              <w:tc>
                <w:tcPr>
                  <w:tcW w:w="531" w:type="pct"/>
                  <w:vAlign w:val="center"/>
                </w:tcPr>
                <w:p>
                  <w:pPr>
                    <w:pStyle w:val="73"/>
                    <w:spacing w:line="240" w:lineRule="auto"/>
                    <w:ind w:firstLine="0" w:firstLineChars="0"/>
                    <w:jc w:val="center"/>
                    <w:rPr>
                      <w:rFonts w:hint="default" w:ascii="Times New Roman" w:hAnsi="Times New Roman" w:cs="Times New Roman"/>
                      <w:bCs/>
                      <w:color w:val="auto"/>
                      <w:sz w:val="21"/>
                      <w:szCs w:val="21"/>
                      <w:highlight w:val="none"/>
                    </w:rPr>
                  </w:pPr>
                  <w:r>
                    <w:rPr>
                      <w:rFonts w:hint="eastAsia" w:cs="Times New Roman"/>
                      <w:color w:val="auto"/>
                      <w:sz w:val="21"/>
                      <w:szCs w:val="21"/>
                      <w:highlight w:val="none"/>
                      <w:lang w:val="en-US" w:eastAsia="zh-CN"/>
                    </w:rPr>
                    <w:t>0.082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144" w:type="pct"/>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w:t>
                  </w:r>
                </w:p>
              </w:tc>
              <w:tc>
                <w:tcPr>
                  <w:tcW w:w="373" w:type="pct"/>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生产</w:t>
                  </w:r>
                  <w:r>
                    <w:rPr>
                      <w:rFonts w:hint="default" w:ascii="Times New Roman" w:hAnsi="Times New Roman" w:cs="Times New Roman"/>
                      <w:bCs/>
                      <w:color w:val="auto"/>
                      <w:sz w:val="21"/>
                      <w:szCs w:val="21"/>
                      <w:highlight w:val="none"/>
                    </w:rPr>
                    <w:t>车间</w:t>
                  </w:r>
                  <w:r>
                    <w:rPr>
                      <w:rFonts w:hint="eastAsia" w:ascii="Times New Roman" w:hAnsi="Times New Roman" w:cs="Times New Roman"/>
                      <w:bCs/>
                      <w:color w:val="auto"/>
                      <w:sz w:val="21"/>
                      <w:szCs w:val="21"/>
                      <w:highlight w:val="none"/>
                      <w:lang w:val="en-US" w:eastAsia="zh-CN"/>
                    </w:rPr>
                    <w:t>3</w:t>
                  </w:r>
                </w:p>
              </w:tc>
              <w:tc>
                <w:tcPr>
                  <w:tcW w:w="741" w:type="pc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117 .45843</w:t>
                  </w:r>
                  <w:r>
                    <w:rPr>
                      <w:rFonts w:hint="eastAsia" w:cs="Times New Roman"/>
                      <w:bCs/>
                      <w:color w:val="auto"/>
                      <w:sz w:val="21"/>
                      <w:szCs w:val="21"/>
                      <w:highlight w:val="none"/>
                      <w:lang w:val="en-US" w:eastAsia="zh-CN"/>
                    </w:rPr>
                    <w:t>9°</w:t>
                  </w:r>
                </w:p>
              </w:tc>
              <w:tc>
                <w:tcPr>
                  <w:tcW w:w="680"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38 .818474</w:t>
                  </w:r>
                  <w:r>
                    <w:rPr>
                      <w:rFonts w:hint="eastAsia" w:cs="Times New Roman"/>
                      <w:color w:val="auto"/>
                      <w:sz w:val="21"/>
                      <w:szCs w:val="21"/>
                      <w:highlight w:val="none"/>
                      <w:lang w:val="en-US" w:eastAsia="zh-CN"/>
                    </w:rPr>
                    <w:t>°</w:t>
                  </w:r>
                </w:p>
              </w:tc>
              <w:tc>
                <w:tcPr>
                  <w:tcW w:w="278" w:type="pc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350</w:t>
                  </w:r>
                </w:p>
              </w:tc>
              <w:tc>
                <w:tcPr>
                  <w:tcW w:w="259" w:type="pc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31.5</w:t>
                  </w:r>
                </w:p>
              </w:tc>
              <w:tc>
                <w:tcPr>
                  <w:tcW w:w="379" w:type="pct"/>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379" w:type="pc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1.6</w:t>
                  </w:r>
                </w:p>
              </w:tc>
              <w:tc>
                <w:tcPr>
                  <w:tcW w:w="461" w:type="pc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1800</w:t>
                  </w:r>
                </w:p>
              </w:tc>
              <w:tc>
                <w:tcPr>
                  <w:tcW w:w="314" w:type="pct"/>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正常</w:t>
                  </w:r>
                </w:p>
              </w:tc>
              <w:tc>
                <w:tcPr>
                  <w:tcW w:w="455" w:type="pct"/>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颗粒物</w:t>
                  </w:r>
                </w:p>
              </w:tc>
              <w:tc>
                <w:tcPr>
                  <w:tcW w:w="531" w:type="pct"/>
                  <w:vAlign w:val="center"/>
                </w:tcPr>
                <w:p>
                  <w:pPr>
                    <w:pStyle w:val="73"/>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0.2154</w:t>
                  </w:r>
                </w:p>
              </w:tc>
            </w:tr>
          </w:tbl>
          <w:p>
            <w:pPr>
              <w:adjustRightInd w:val="0"/>
              <w:snapToGrid w:val="0"/>
              <w:spacing w:before="240" w:beforeLines="100" w:line="360" w:lineRule="auto"/>
              <w:ind w:firstLine="480" w:firstLineChars="200"/>
              <w:rPr>
                <w:rFonts w:hint="default" w:ascii="Times New Roman" w:hAnsi="Times New Roman" w:cs="Times New Roman"/>
                <w:b/>
                <w:color w:val="auto"/>
                <w:kern w:val="2"/>
                <w:sz w:val="21"/>
                <w:szCs w:val="21"/>
                <w:highlight w:val="none"/>
              </w:rPr>
            </w:pPr>
            <w:r>
              <w:rPr>
                <w:rFonts w:hint="default" w:ascii="Times New Roman" w:hAnsi="Times New Roman" w:cs="Times New Roman"/>
                <w:color w:val="auto"/>
                <w:szCs w:val="24"/>
                <w:highlight w:val="none"/>
              </w:rPr>
              <w:t>采用AERSCREEN估算模型，计算本项目厂房周边监控点浓度限值。详见下表。</w:t>
            </w:r>
          </w:p>
          <w:p>
            <w:pPr>
              <w:pStyle w:val="25"/>
              <w:widowControl w:val="0"/>
              <w:spacing w:before="0" w:beforeAutospacing="0" w:after="0" w:afterAutospacing="0"/>
              <w:jc w:val="center"/>
              <w:rPr>
                <w:rFonts w:hint="default" w:ascii="Times New Roman" w:hAnsi="Times New Roman" w:cs="Times New Roman"/>
                <w:b/>
                <w:color w:val="auto"/>
                <w:kern w:val="2"/>
                <w:sz w:val="21"/>
                <w:szCs w:val="21"/>
                <w:highlight w:val="none"/>
              </w:rPr>
            </w:pPr>
            <w:r>
              <w:rPr>
                <w:rFonts w:hint="default" w:ascii="Times New Roman" w:hAnsi="Times New Roman" w:cs="Times New Roman"/>
                <w:b/>
                <w:color w:val="auto"/>
                <w:kern w:val="2"/>
                <w:sz w:val="21"/>
                <w:szCs w:val="21"/>
                <w:highlight w:val="none"/>
              </w:rPr>
              <w:t>表4-1</w:t>
            </w:r>
            <w:r>
              <w:rPr>
                <w:rFonts w:hint="eastAsia" w:ascii="Times New Roman" w:hAnsi="Times New Roman" w:cs="Times New Roman"/>
                <w:b/>
                <w:color w:val="auto"/>
                <w:kern w:val="2"/>
                <w:sz w:val="21"/>
                <w:szCs w:val="21"/>
                <w:highlight w:val="none"/>
                <w:lang w:val="en-US" w:eastAsia="zh-CN"/>
              </w:rPr>
              <w:t>5</w:t>
            </w:r>
            <w:r>
              <w:rPr>
                <w:rFonts w:hint="default" w:ascii="Times New Roman" w:hAnsi="Times New Roman" w:cs="Times New Roman"/>
                <w:b/>
                <w:color w:val="auto"/>
                <w:kern w:val="2"/>
                <w:sz w:val="21"/>
                <w:szCs w:val="21"/>
                <w:highlight w:val="none"/>
              </w:rPr>
              <w:t>采用 AERSCREEN估算模型计算无组织排放废气结果表</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498"/>
              <w:gridCol w:w="2712"/>
              <w:gridCol w:w="2125"/>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5"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w:t>
                  </w:r>
                </w:p>
              </w:tc>
              <w:tc>
                <w:tcPr>
                  <w:tcW w:w="824"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污染因子</w:t>
                  </w:r>
                </w:p>
              </w:tc>
              <w:tc>
                <w:tcPr>
                  <w:tcW w:w="2661"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计算结果</w:t>
                  </w:r>
                </w:p>
              </w:tc>
              <w:tc>
                <w:tcPr>
                  <w:tcW w:w="918" w:type="pct"/>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排放标准</w:t>
                  </w:r>
                </w:p>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cs="Times New Roman"/>
                      <w:color w:val="auto"/>
                      <w:kern w:val="24"/>
                      <w:sz w:val="21"/>
                      <w:szCs w:val="21"/>
                      <w:highlight w:val="none"/>
                    </w:rPr>
                    <w:t>mg/m³</w:t>
                  </w: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5"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824"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c>
                <w:tcPr>
                  <w:tcW w:w="1492"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最大落地浓度（</w:t>
                  </w:r>
                  <w:r>
                    <w:rPr>
                      <w:rFonts w:hint="default" w:ascii="Times New Roman" w:hAnsi="Times New Roman" w:cs="Times New Roman"/>
                      <w:color w:val="auto"/>
                      <w:kern w:val="24"/>
                      <w:sz w:val="21"/>
                      <w:szCs w:val="21"/>
                      <w:highlight w:val="none"/>
                    </w:rPr>
                    <w:t>mg/m³）</w:t>
                  </w:r>
                </w:p>
              </w:tc>
              <w:tc>
                <w:tcPr>
                  <w:tcW w:w="11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距离（m）</w:t>
                  </w:r>
                </w:p>
              </w:tc>
              <w:tc>
                <w:tcPr>
                  <w:tcW w:w="918"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95" w:type="pct"/>
                  <w:vMerge w:val="restart"/>
                  <w:tcBorders>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生产</w:t>
                  </w:r>
                  <w:r>
                    <w:rPr>
                      <w:rFonts w:hint="default" w:ascii="Times New Roman" w:hAnsi="Times New Roman" w:cs="Times New Roman"/>
                      <w:bCs/>
                      <w:color w:val="auto"/>
                      <w:sz w:val="21"/>
                      <w:szCs w:val="21"/>
                      <w:highlight w:val="none"/>
                    </w:rPr>
                    <w:t>车间</w:t>
                  </w:r>
                  <w:r>
                    <w:rPr>
                      <w:rFonts w:hint="eastAsia" w:cs="Times New Roman"/>
                      <w:bCs/>
                      <w:color w:val="auto"/>
                      <w:sz w:val="21"/>
                      <w:szCs w:val="21"/>
                      <w:highlight w:val="none"/>
                      <w:lang w:val="en-US" w:eastAsia="zh-CN"/>
                    </w:rPr>
                    <w:t>1、生产</w:t>
                  </w:r>
                  <w:r>
                    <w:rPr>
                      <w:rFonts w:hint="default" w:ascii="Times New Roman" w:hAnsi="Times New Roman" w:cs="Times New Roman"/>
                      <w:bCs/>
                      <w:color w:val="auto"/>
                      <w:sz w:val="21"/>
                      <w:szCs w:val="21"/>
                      <w:highlight w:val="none"/>
                    </w:rPr>
                    <w:t>车间</w:t>
                  </w:r>
                  <w:r>
                    <w:rPr>
                      <w:rFonts w:hint="eastAsia" w:ascii="Times New Roman" w:hAnsi="Times New Roman" w:cs="Times New Roman"/>
                      <w:bCs/>
                      <w:color w:val="auto"/>
                      <w:sz w:val="21"/>
                      <w:szCs w:val="21"/>
                      <w:highlight w:val="none"/>
                      <w:lang w:val="en-US" w:eastAsia="zh-CN"/>
                    </w:rPr>
                    <w:t>2</w:t>
                  </w:r>
                </w:p>
              </w:tc>
              <w:tc>
                <w:tcPr>
                  <w:tcW w:w="824" w:type="pct"/>
                  <w:tcBorders>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颗粒物</w:t>
                  </w:r>
                </w:p>
              </w:tc>
              <w:tc>
                <w:tcPr>
                  <w:tcW w:w="1492"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0.208</w:t>
                  </w:r>
                </w:p>
              </w:tc>
              <w:tc>
                <w:tcPr>
                  <w:tcW w:w="116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175</w:t>
                  </w:r>
                </w:p>
              </w:tc>
              <w:tc>
                <w:tcPr>
                  <w:tcW w:w="918"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95" w:type="pct"/>
                  <w:vMerge w:val="continue"/>
                  <w:tcBorders>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p>
              </w:tc>
              <w:tc>
                <w:tcPr>
                  <w:tcW w:w="824" w:type="pct"/>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非甲烷总烃</w:t>
                  </w:r>
                </w:p>
              </w:tc>
              <w:tc>
                <w:tcPr>
                  <w:tcW w:w="1492"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0.0891</w:t>
                  </w:r>
                </w:p>
              </w:tc>
              <w:tc>
                <w:tcPr>
                  <w:tcW w:w="116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175</w:t>
                  </w:r>
                </w:p>
              </w:tc>
              <w:tc>
                <w:tcPr>
                  <w:tcW w:w="918"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95" w:type="pct"/>
                  <w:vMerge w:val="continue"/>
                  <w:tcBorders>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p>
              </w:tc>
              <w:tc>
                <w:tcPr>
                  <w:tcW w:w="824" w:type="pct"/>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二甲苯</w:t>
                  </w:r>
                </w:p>
              </w:tc>
              <w:tc>
                <w:tcPr>
                  <w:tcW w:w="1492"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0.0449</w:t>
                  </w:r>
                </w:p>
              </w:tc>
              <w:tc>
                <w:tcPr>
                  <w:tcW w:w="116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bCs/>
                      <w:color w:val="auto"/>
                      <w:sz w:val="21"/>
                      <w:szCs w:val="21"/>
                      <w:highlight w:val="none"/>
                      <w:lang w:val="en-US"/>
                    </w:rPr>
                  </w:pPr>
                  <w:r>
                    <w:rPr>
                      <w:rFonts w:hint="eastAsia" w:cs="Times New Roman"/>
                      <w:bCs/>
                      <w:color w:val="auto"/>
                      <w:sz w:val="21"/>
                      <w:szCs w:val="21"/>
                      <w:highlight w:val="none"/>
                      <w:lang w:val="en-US" w:eastAsia="zh-CN"/>
                    </w:rPr>
                    <w:t>175</w:t>
                  </w:r>
                </w:p>
              </w:tc>
              <w:tc>
                <w:tcPr>
                  <w:tcW w:w="918"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95" w:type="pct"/>
                  <w:tcBorders>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生产</w:t>
                  </w:r>
                  <w:r>
                    <w:rPr>
                      <w:rFonts w:hint="default" w:ascii="Times New Roman" w:hAnsi="Times New Roman" w:cs="Times New Roman"/>
                      <w:bCs/>
                      <w:color w:val="auto"/>
                      <w:sz w:val="21"/>
                      <w:szCs w:val="21"/>
                      <w:highlight w:val="none"/>
                    </w:rPr>
                    <w:t>车间</w:t>
                  </w:r>
                  <w:r>
                    <w:rPr>
                      <w:rFonts w:hint="eastAsia" w:ascii="Times New Roman" w:hAnsi="Times New Roman" w:cs="Times New Roman"/>
                      <w:bCs/>
                      <w:color w:val="auto"/>
                      <w:sz w:val="21"/>
                      <w:szCs w:val="21"/>
                      <w:highlight w:val="none"/>
                      <w:lang w:val="en-US" w:eastAsia="zh-CN"/>
                    </w:rPr>
                    <w:t>3</w:t>
                  </w:r>
                </w:p>
              </w:tc>
              <w:tc>
                <w:tcPr>
                  <w:tcW w:w="824" w:type="pct"/>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颗粒物</w:t>
                  </w:r>
                </w:p>
              </w:tc>
              <w:tc>
                <w:tcPr>
                  <w:tcW w:w="1492"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0.158</w:t>
                  </w:r>
                </w:p>
              </w:tc>
              <w:tc>
                <w:tcPr>
                  <w:tcW w:w="116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176</w:t>
                  </w:r>
                </w:p>
              </w:tc>
              <w:tc>
                <w:tcPr>
                  <w:tcW w:w="918" w:type="pct"/>
                  <w:tcBorders>
                    <w:top w:val="single" w:color="auto" w:sz="4" w:space="0"/>
                    <w:left w:val="single" w:color="auto" w:sz="4" w:space="0"/>
                    <w:bottom w:val="single" w:color="auto" w:sz="4" w:space="0"/>
                    <w:right w:val="single" w:color="auto" w:sz="4" w:space="0"/>
                  </w:tcBorders>
                  <w:vAlign w:val="center"/>
                </w:tcPr>
                <w:p>
                  <w:pPr>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r>
          </w:tbl>
          <w:p>
            <w:pPr>
              <w:pStyle w:val="16"/>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由预测结果可知，本项目无组织排放颗粒物</w:t>
            </w:r>
            <w:r>
              <w:rPr>
                <w:rFonts w:hint="eastAsia" w:cs="Times New Roman"/>
                <w:color w:val="auto"/>
                <w:highlight w:val="none"/>
                <w:lang w:eastAsia="zh-CN"/>
              </w:rPr>
              <w:t>、</w:t>
            </w:r>
            <w:r>
              <w:rPr>
                <w:rFonts w:hint="eastAsia" w:cs="Times New Roman"/>
                <w:color w:val="auto"/>
                <w:highlight w:val="none"/>
                <w:lang w:val="en-US" w:eastAsia="zh-CN"/>
              </w:rPr>
              <w:t>非甲烷总烃、二甲苯</w:t>
            </w:r>
            <w:r>
              <w:rPr>
                <w:rFonts w:hint="default" w:ascii="Times New Roman" w:hAnsi="Times New Roman" w:cs="Times New Roman"/>
                <w:color w:val="auto"/>
                <w:highlight w:val="none"/>
              </w:rPr>
              <w:t>可以达到《大气污染物综合排放标准》（GB16297-1996）厂界排放限值的要求，可实现达标排放。</w:t>
            </w:r>
            <w:r>
              <w:rPr>
                <w:rFonts w:hint="eastAsia" w:cs="Times New Roman"/>
                <w:color w:val="auto"/>
                <w:highlight w:val="none"/>
                <w:lang w:val="en-US" w:eastAsia="zh-CN"/>
              </w:rPr>
              <w:t>根据本项目无组织排放的</w:t>
            </w:r>
            <w:r>
              <w:rPr>
                <w:rFonts w:hint="default" w:ascii="Times New Roman" w:hAnsi="Times New Roman" w:cs="Times New Roman"/>
                <w:color w:val="auto"/>
                <w:highlight w:val="none"/>
              </w:rPr>
              <w:t>颗粒物</w:t>
            </w:r>
            <w:r>
              <w:rPr>
                <w:rFonts w:hint="eastAsia" w:cs="Times New Roman"/>
                <w:color w:val="auto"/>
                <w:highlight w:val="none"/>
                <w:lang w:eastAsia="zh-CN"/>
              </w:rPr>
              <w:t>、</w:t>
            </w:r>
            <w:r>
              <w:rPr>
                <w:rFonts w:hint="eastAsia" w:cs="Times New Roman"/>
                <w:color w:val="auto"/>
                <w:highlight w:val="none"/>
                <w:lang w:val="en-US" w:eastAsia="zh-CN"/>
              </w:rPr>
              <w:t>非甲烷总烃、二甲苯在本项目大气环境敏感目标处天津大港科技产业园区管委会处的落地浓度可知，本项目不会对其产生不利影响。</w:t>
            </w:r>
          </w:p>
          <w:p>
            <w:pPr>
              <w:pStyle w:val="16"/>
              <w:spacing w:line="360" w:lineRule="auto"/>
              <w:ind w:firstLine="480" w:firstLineChars="200"/>
              <w:rPr>
                <w:rFonts w:hint="default" w:ascii="Times New Roman" w:hAnsi="Times New Roman" w:cs="Times New Roman"/>
                <w:color w:val="auto"/>
                <w:kern w:val="24"/>
                <w:szCs w:val="24"/>
                <w:highlight w:val="none"/>
              </w:rPr>
            </w:pPr>
            <w:r>
              <w:rPr>
                <w:rFonts w:hint="eastAsia" w:ascii="Times New Roman" w:hAnsi="Times New Roman" w:eastAsia="宋体" w:cs="Times New Roman"/>
                <w:caps w:val="0"/>
                <w:color w:val="auto"/>
                <w:highlight w:val="none"/>
              </w:rPr>
              <w:t>本项目生产车间</w:t>
            </w:r>
            <w:r>
              <w:rPr>
                <w:rFonts w:hint="eastAsia" w:ascii="Times New Roman" w:hAnsi="Times New Roman" w:eastAsia="宋体" w:cs="Times New Roman"/>
                <w:caps w:val="0"/>
                <w:color w:val="auto"/>
                <w:highlight w:val="none"/>
                <w:lang w:val="en-US" w:eastAsia="zh-CN"/>
              </w:rPr>
              <w:t>1</w:t>
            </w:r>
            <w:r>
              <w:rPr>
                <w:rFonts w:hint="eastAsia" w:ascii="Times New Roman" w:hAnsi="Times New Roman" w:eastAsia="宋体" w:cs="Times New Roman"/>
                <w:caps w:val="0"/>
                <w:color w:val="auto"/>
                <w:highlight w:val="none"/>
              </w:rPr>
              <w:t>每小时换气次数按</w:t>
            </w:r>
            <w:r>
              <w:rPr>
                <w:rFonts w:hint="eastAsia" w:ascii="Times New Roman" w:hAnsi="Times New Roman" w:eastAsia="宋体" w:cs="Times New Roman"/>
                <w:caps w:val="0"/>
                <w:color w:val="auto"/>
                <w:highlight w:val="none"/>
                <w:lang w:val="en-US" w:eastAsia="zh-CN"/>
              </w:rPr>
              <w:t>1</w:t>
            </w:r>
            <w:r>
              <w:rPr>
                <w:rFonts w:hint="eastAsia" w:ascii="Times New Roman" w:hAnsi="Times New Roman" w:eastAsia="宋体" w:cs="Times New Roman"/>
                <w:caps w:val="0"/>
                <w:color w:val="auto"/>
                <w:highlight w:val="none"/>
              </w:rPr>
              <w:t>次计。生产车间</w:t>
            </w:r>
            <w:r>
              <w:rPr>
                <w:rFonts w:hint="eastAsia" w:ascii="Times New Roman" w:hAnsi="Times New Roman" w:eastAsia="宋体" w:cs="Times New Roman"/>
                <w:caps w:val="0"/>
                <w:color w:val="auto"/>
                <w:highlight w:val="none"/>
                <w:lang w:val="en-US" w:eastAsia="zh-CN"/>
              </w:rPr>
              <w:t>1</w:t>
            </w:r>
            <w:r>
              <w:rPr>
                <w:rFonts w:hint="eastAsia" w:ascii="Times New Roman" w:hAnsi="Times New Roman" w:eastAsia="宋体" w:cs="Times New Roman"/>
                <w:caps w:val="0"/>
                <w:color w:val="auto"/>
                <w:highlight w:val="none"/>
              </w:rPr>
              <w:t>厂房外监控点非甲烷总烃浓度=非甲烷总烃无组织排放速率÷</w:t>
            </w:r>
            <w:r>
              <w:rPr>
                <w:rFonts w:hint="eastAsia" w:ascii="Times New Roman" w:hAnsi="Times New Roman" w:eastAsia="宋体" w:cs="Times New Roman"/>
                <w:caps w:val="0"/>
                <w:color w:val="auto"/>
                <w:highlight w:val="none"/>
              </w:rPr>
              <w:t>（车间体积*每小时换气次数）= 0.</w:t>
            </w:r>
            <w:r>
              <w:rPr>
                <w:rFonts w:hint="eastAsia" w:ascii="Times New Roman" w:hAnsi="Times New Roman" w:eastAsia="宋体" w:cs="Times New Roman"/>
                <w:caps w:val="0"/>
                <w:color w:val="auto"/>
                <w:highlight w:val="none"/>
                <w:lang w:val="en-US" w:eastAsia="zh-CN"/>
              </w:rPr>
              <w:t>1</w:t>
            </w:r>
            <w:r>
              <w:rPr>
                <w:rFonts w:hint="eastAsia" w:cs="Times New Roman"/>
                <w:caps w:val="0"/>
                <w:color w:val="auto"/>
                <w:highlight w:val="none"/>
                <w:lang w:val="en-US" w:eastAsia="zh-CN"/>
              </w:rPr>
              <w:t>569</w:t>
            </w:r>
            <w:r>
              <w:rPr>
                <w:rFonts w:hint="eastAsia" w:ascii="Times New Roman" w:hAnsi="Times New Roman" w:eastAsia="宋体" w:cs="Times New Roman"/>
                <w:caps w:val="0"/>
                <w:color w:val="auto"/>
                <w:highlight w:val="none"/>
              </w:rPr>
              <w:t>kg/h×10</w:t>
            </w:r>
            <w:r>
              <w:rPr>
                <w:rFonts w:hint="eastAsia" w:ascii="Times New Roman" w:hAnsi="Times New Roman" w:eastAsia="宋体" w:cs="Times New Roman"/>
                <w:caps w:val="0"/>
                <w:color w:val="auto"/>
                <w:highlight w:val="none"/>
                <w:vertAlign w:val="superscript"/>
              </w:rPr>
              <w:t>6</w:t>
            </w:r>
            <w:r>
              <w:rPr>
                <w:rFonts w:hint="eastAsia" w:ascii="Times New Roman" w:hAnsi="Times New Roman" w:eastAsia="宋体" w:cs="Times New Roman"/>
                <w:caps w:val="0"/>
                <w:color w:val="auto"/>
                <w:highlight w:val="none"/>
              </w:rPr>
              <w:t>÷99114÷1=</w:t>
            </w:r>
            <w:r>
              <w:rPr>
                <w:rFonts w:hint="eastAsia" w:cs="Times New Roman"/>
                <w:caps w:val="0"/>
                <w:color w:val="auto"/>
                <w:highlight w:val="none"/>
                <w:lang w:val="en-US" w:eastAsia="zh-CN"/>
              </w:rPr>
              <w:t>1.58</w:t>
            </w:r>
            <w:r>
              <w:rPr>
                <w:rFonts w:hint="eastAsia" w:ascii="Times New Roman" w:hAnsi="Times New Roman" w:eastAsia="宋体" w:cs="Times New Roman"/>
                <w:caps w:val="0"/>
                <w:color w:val="auto"/>
                <w:highlight w:val="none"/>
              </w:rPr>
              <w:t>mg/m</w:t>
            </w:r>
            <w:r>
              <w:rPr>
                <w:rFonts w:hint="eastAsia" w:ascii="Times New Roman" w:hAnsi="Times New Roman" w:eastAsia="宋体" w:cs="Times New Roman"/>
                <w:caps w:val="0"/>
                <w:color w:val="auto"/>
                <w:highlight w:val="none"/>
                <w:vertAlign w:val="superscript"/>
              </w:rPr>
              <w:t>3</w:t>
            </w:r>
            <w:r>
              <w:rPr>
                <w:rFonts w:hint="eastAsia" w:ascii="Times New Roman" w:hAnsi="Times New Roman" w:eastAsia="宋体" w:cs="Times New Roman"/>
                <w:caps w:val="0"/>
                <w:color w:val="auto"/>
                <w:highlight w:val="none"/>
              </w:rPr>
              <w:t>，满足《工业企</w:t>
            </w:r>
            <w:r>
              <w:rPr>
                <w:rFonts w:hint="eastAsia" w:ascii="Times New Roman" w:hAnsi="Times New Roman" w:eastAsia="宋体" w:cs="Times New Roman"/>
                <w:caps w:val="0"/>
                <w:color w:val="auto"/>
                <w:highlight w:val="none"/>
              </w:rPr>
              <w:t>业挥发性有机物排放控制标准》（DB12/524-2020）表2厂房外监控点浓度限值要求，可实现达标排放。</w:t>
            </w:r>
          </w:p>
          <w:p>
            <w:pPr>
              <w:spacing w:line="360" w:lineRule="auto"/>
              <w:ind w:firstLine="480" w:firstLineChars="200"/>
              <w:rPr>
                <w:rFonts w:hint="default" w:ascii="Times New Roman" w:hAnsi="Times New Roman" w:cs="Times New Roman"/>
                <w:color w:val="auto"/>
                <w:kern w:val="24"/>
                <w:szCs w:val="24"/>
                <w:highlight w:val="none"/>
              </w:rPr>
            </w:pPr>
            <w:r>
              <w:rPr>
                <w:rFonts w:hint="default" w:ascii="Times New Roman" w:hAnsi="Times New Roman" w:cs="Times New Roman"/>
                <w:color w:val="auto"/>
                <w:kern w:val="24"/>
                <w:szCs w:val="24"/>
                <w:highlight w:val="none"/>
              </w:rPr>
              <w:t>（3）减少无组织排放控制措施</w:t>
            </w:r>
          </w:p>
          <w:p>
            <w:pPr>
              <w:spacing w:line="360" w:lineRule="auto"/>
              <w:ind w:firstLine="480" w:firstLineChars="200"/>
              <w:rPr>
                <w:rFonts w:hint="default" w:ascii="Times New Roman" w:hAnsi="Times New Roman" w:cs="Times New Roman"/>
                <w:color w:val="auto"/>
                <w:kern w:val="24"/>
                <w:szCs w:val="24"/>
                <w:highlight w:val="none"/>
              </w:rPr>
            </w:pPr>
            <w:r>
              <w:rPr>
                <w:rFonts w:hint="default" w:ascii="Times New Roman" w:hAnsi="Times New Roman" w:cs="Times New Roman"/>
                <w:color w:val="auto"/>
                <w:kern w:val="24"/>
                <w:szCs w:val="24"/>
                <w:highlight w:val="none"/>
              </w:rPr>
              <w:t>为保证本项目产生的废气污染物经收集系统全部收集，降低无组织排放，需采取如下控制措施：</w:t>
            </w:r>
          </w:p>
          <w:p>
            <w:pPr>
              <w:spacing w:line="360" w:lineRule="auto"/>
              <w:ind w:firstLine="480" w:firstLineChars="200"/>
              <w:rPr>
                <w:rFonts w:hint="default" w:ascii="Times New Roman" w:hAnsi="Times New Roman" w:cs="Times New Roman"/>
                <w:color w:val="auto"/>
                <w:kern w:val="24"/>
                <w:szCs w:val="24"/>
                <w:highlight w:val="none"/>
              </w:rPr>
            </w:pPr>
            <w:r>
              <w:rPr>
                <w:rFonts w:hint="default" w:ascii="Times New Roman" w:hAnsi="Times New Roman" w:cs="Times New Roman"/>
                <w:color w:val="auto"/>
                <w:kern w:val="24"/>
                <w:szCs w:val="24"/>
                <w:highlight w:val="none"/>
              </w:rPr>
              <w:t>1）将</w:t>
            </w:r>
            <w:r>
              <w:rPr>
                <w:rFonts w:hint="eastAsia" w:cs="Times New Roman"/>
                <w:color w:val="auto"/>
                <w:kern w:val="24"/>
                <w:szCs w:val="24"/>
                <w:highlight w:val="none"/>
                <w:lang w:val="en-US" w:eastAsia="zh-CN"/>
              </w:rPr>
              <w:t>产尘</w:t>
            </w:r>
            <w:r>
              <w:rPr>
                <w:rFonts w:hint="default" w:ascii="Times New Roman" w:hAnsi="Times New Roman" w:cs="Times New Roman"/>
                <w:color w:val="auto"/>
                <w:kern w:val="24"/>
                <w:szCs w:val="24"/>
                <w:highlight w:val="none"/>
              </w:rPr>
              <w:t>设备通过设置集气装置，对无序排放的废气进行收集，增大收集效率，保持车间门窗关闭，减少空气流通。</w:t>
            </w:r>
          </w:p>
          <w:p>
            <w:pPr>
              <w:tabs>
                <w:tab w:val="left" w:pos="0"/>
              </w:tabs>
              <w:spacing w:line="360" w:lineRule="auto"/>
              <w:ind w:left="480" w:leftChars="200"/>
              <w:rPr>
                <w:rFonts w:hint="default" w:ascii="Times New Roman" w:hAnsi="Times New Roman" w:cs="Times New Roman"/>
                <w:color w:val="auto"/>
                <w:kern w:val="24"/>
                <w:szCs w:val="24"/>
                <w:highlight w:val="none"/>
              </w:rPr>
            </w:pPr>
            <w:r>
              <w:rPr>
                <w:rFonts w:hint="default" w:ascii="Times New Roman" w:hAnsi="Times New Roman" w:cs="Times New Roman"/>
                <w:color w:val="auto"/>
                <w:kern w:val="24"/>
                <w:szCs w:val="24"/>
                <w:highlight w:val="none"/>
              </w:rPr>
              <w:t>2）车间应保持关闭状态，不得随意开启。生产期间工作人员严禁随意进出。</w:t>
            </w:r>
          </w:p>
          <w:p>
            <w:pPr>
              <w:tabs>
                <w:tab w:val="left" w:pos="0"/>
              </w:tabs>
              <w:spacing w:line="360" w:lineRule="auto"/>
              <w:rPr>
                <w:rFonts w:hint="default" w:ascii="Times New Roman" w:hAnsi="Times New Roman" w:cs="Times New Roman"/>
                <w:color w:val="auto"/>
                <w:kern w:val="24"/>
                <w:szCs w:val="24"/>
                <w:highlight w:val="none"/>
              </w:rPr>
            </w:pPr>
            <w:r>
              <w:rPr>
                <w:rFonts w:hint="default" w:ascii="Times New Roman" w:hAnsi="Times New Roman" w:cs="Times New Roman"/>
                <w:color w:val="auto"/>
                <w:kern w:val="24"/>
                <w:szCs w:val="24"/>
                <w:highlight w:val="none"/>
              </w:rPr>
              <w:t>生产过程中环保设备确保一直处于工作状态。</w:t>
            </w:r>
          </w:p>
          <w:p>
            <w:pPr>
              <w:tabs>
                <w:tab w:val="left" w:pos="0"/>
              </w:tabs>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kern w:val="24"/>
                <w:szCs w:val="24"/>
                <w:highlight w:val="none"/>
              </w:rPr>
              <w:t>通过采取以上措施，本项目可以减少废气无组织排放。</w:t>
            </w:r>
          </w:p>
          <w:p>
            <w:pPr>
              <w:pStyle w:val="23"/>
              <w:spacing w:line="360" w:lineRule="auto"/>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2.2排放口基本情况及排放标准</w:t>
            </w:r>
          </w:p>
          <w:p>
            <w:pPr>
              <w:spacing w:line="360" w:lineRule="auto"/>
              <w:ind w:firstLine="480" w:firstLineChars="200"/>
              <w:rPr>
                <w:rFonts w:hint="default" w:ascii="Times New Roman" w:hAnsi="Times New Roman" w:cs="Times New Roman"/>
                <w:b/>
                <w:bCs/>
                <w:snapToGrid w:val="0"/>
                <w:color w:val="auto"/>
                <w:sz w:val="21"/>
                <w:szCs w:val="21"/>
                <w:highlight w:val="none"/>
              </w:rPr>
            </w:pPr>
            <w:r>
              <w:rPr>
                <w:rFonts w:hint="default" w:ascii="Times New Roman" w:hAnsi="Times New Roman" w:cs="Times New Roman"/>
                <w:color w:val="auto"/>
                <w:szCs w:val="24"/>
                <w:highlight w:val="none"/>
              </w:rPr>
              <w:t>本项目共设置</w:t>
            </w:r>
            <w:r>
              <w:rPr>
                <w:rFonts w:hint="eastAsia" w:cs="Times New Roman"/>
                <w:color w:val="auto"/>
                <w:szCs w:val="24"/>
                <w:highlight w:val="none"/>
                <w:lang w:val="en-US" w:eastAsia="zh-CN"/>
              </w:rPr>
              <w:t>6</w:t>
            </w:r>
            <w:r>
              <w:rPr>
                <w:rFonts w:hint="default" w:ascii="Times New Roman" w:hAnsi="Times New Roman" w:cs="Times New Roman"/>
                <w:color w:val="auto"/>
                <w:szCs w:val="24"/>
                <w:highlight w:val="none"/>
              </w:rPr>
              <w:t>根排气筒P1-P</w:t>
            </w:r>
            <w:r>
              <w:rPr>
                <w:rFonts w:hint="eastAsia" w:cs="Times New Roman"/>
                <w:color w:val="auto"/>
                <w:szCs w:val="24"/>
                <w:highlight w:val="none"/>
                <w:lang w:val="en-US" w:eastAsia="zh-CN"/>
              </w:rPr>
              <w:t>6</w:t>
            </w:r>
            <w:r>
              <w:rPr>
                <w:rFonts w:hint="default" w:ascii="Times New Roman" w:hAnsi="Times New Roman" w:cs="Times New Roman"/>
                <w:color w:val="auto"/>
                <w:szCs w:val="24"/>
                <w:highlight w:val="none"/>
              </w:rPr>
              <w:t>，大气排放口基本情况见下表。</w:t>
            </w:r>
          </w:p>
          <w:p>
            <w:pPr>
              <w:keepNext/>
              <w:widowControl/>
              <w:jc w:val="center"/>
              <w:rPr>
                <w:rFonts w:hint="default" w:ascii="Times New Roman" w:hAnsi="Times New Roman" w:cs="Times New Roman"/>
                <w:b/>
                <w:bCs/>
                <w:snapToGrid w:val="0"/>
                <w:color w:val="auto"/>
                <w:sz w:val="21"/>
                <w:szCs w:val="21"/>
                <w:highlight w:val="none"/>
              </w:rPr>
            </w:pPr>
            <w:r>
              <w:rPr>
                <w:rFonts w:hint="default" w:ascii="Times New Roman" w:hAnsi="Times New Roman" w:cs="Times New Roman"/>
                <w:b/>
                <w:bCs/>
                <w:snapToGrid w:val="0"/>
                <w:color w:val="auto"/>
                <w:sz w:val="21"/>
                <w:szCs w:val="21"/>
                <w:highlight w:val="none"/>
              </w:rPr>
              <w:t>表4-1</w:t>
            </w:r>
            <w:r>
              <w:rPr>
                <w:rFonts w:hint="eastAsia" w:cs="Times New Roman"/>
                <w:b/>
                <w:bCs/>
                <w:snapToGrid w:val="0"/>
                <w:color w:val="auto"/>
                <w:sz w:val="21"/>
                <w:szCs w:val="21"/>
                <w:highlight w:val="none"/>
                <w:lang w:val="en-US" w:eastAsia="zh-CN"/>
              </w:rPr>
              <w:t>6</w:t>
            </w:r>
            <w:r>
              <w:rPr>
                <w:rFonts w:hint="default" w:ascii="Times New Roman" w:hAnsi="Times New Roman" w:cs="Times New Roman"/>
                <w:b/>
                <w:bCs/>
                <w:snapToGrid w:val="0"/>
                <w:color w:val="auto"/>
                <w:sz w:val="21"/>
                <w:szCs w:val="21"/>
                <w:highlight w:val="none"/>
              </w:rPr>
              <w:t>大气排放口基本情况表</w:t>
            </w:r>
          </w:p>
          <w:tbl>
            <w:tblPr>
              <w:tblStyle w:val="2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6"/>
              <w:gridCol w:w="716"/>
              <w:gridCol w:w="831"/>
              <w:gridCol w:w="1398"/>
              <w:gridCol w:w="1516"/>
              <w:gridCol w:w="1445"/>
              <w:gridCol w:w="689"/>
              <w:gridCol w:w="689"/>
              <w:gridCol w:w="68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6" w:type="pct"/>
                  <w:vMerge w:val="restart"/>
                  <w:vAlign w:val="center"/>
                </w:tcPr>
                <w:p>
                  <w:pPr>
                    <w:keepNext/>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序号</w:t>
                  </w:r>
                </w:p>
              </w:tc>
              <w:tc>
                <w:tcPr>
                  <w:tcW w:w="394" w:type="pct"/>
                  <w:vMerge w:val="restart"/>
                  <w:vAlign w:val="center"/>
                </w:tcPr>
                <w:p>
                  <w:pPr>
                    <w:keepNext/>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排放口编号</w:t>
                  </w:r>
                </w:p>
              </w:tc>
              <w:tc>
                <w:tcPr>
                  <w:tcW w:w="457" w:type="pct"/>
                  <w:vMerge w:val="restart"/>
                  <w:vAlign w:val="center"/>
                </w:tcPr>
                <w:p>
                  <w:pPr>
                    <w:keepNext/>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排放口</w:t>
                  </w:r>
                </w:p>
                <w:p>
                  <w:pPr>
                    <w:keepNext/>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名称</w:t>
                  </w:r>
                </w:p>
              </w:tc>
              <w:tc>
                <w:tcPr>
                  <w:tcW w:w="769" w:type="pct"/>
                  <w:vMerge w:val="restart"/>
                  <w:vAlign w:val="center"/>
                </w:tcPr>
                <w:p>
                  <w:pPr>
                    <w:keepNext/>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污染物种类</w:t>
                  </w:r>
                </w:p>
              </w:tc>
              <w:tc>
                <w:tcPr>
                  <w:tcW w:w="1629" w:type="pct"/>
                  <w:gridSpan w:val="2"/>
                  <w:vAlign w:val="center"/>
                </w:tcPr>
                <w:p>
                  <w:pPr>
                    <w:keepNext/>
                    <w:widowControl/>
                    <w:jc w:val="center"/>
                    <w:rPr>
                      <w:rFonts w:hint="default" w:ascii="Times New Roman" w:hAnsi="Times New Roman" w:cs="Times New Roman"/>
                      <w:snapToGrid w:val="0"/>
                      <w:color w:val="auto"/>
                      <w:kern w:val="20"/>
                      <w:sz w:val="21"/>
                      <w:szCs w:val="21"/>
                      <w:highlight w:val="none"/>
                    </w:rPr>
                  </w:pPr>
                  <w:r>
                    <w:rPr>
                      <w:rFonts w:hint="default" w:ascii="Times New Roman" w:hAnsi="Times New Roman" w:cs="Times New Roman"/>
                      <w:snapToGrid w:val="0"/>
                      <w:color w:val="auto"/>
                      <w:sz w:val="21"/>
                      <w:szCs w:val="21"/>
                      <w:highlight w:val="none"/>
                    </w:rPr>
                    <w:t>排放口地理坐标</w:t>
                  </w:r>
                </w:p>
              </w:tc>
              <w:tc>
                <w:tcPr>
                  <w:tcW w:w="379" w:type="pct"/>
                  <w:vMerge w:val="restart"/>
                  <w:vAlign w:val="center"/>
                </w:tcPr>
                <w:p>
                  <w:pPr>
                    <w:keepNext/>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排气筒高度（m）</w:t>
                  </w:r>
                </w:p>
              </w:tc>
              <w:tc>
                <w:tcPr>
                  <w:tcW w:w="379" w:type="pct"/>
                  <w:vMerge w:val="restart"/>
                  <w:vAlign w:val="center"/>
                </w:tcPr>
                <w:p>
                  <w:pPr>
                    <w:keepNext/>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排气筒出口内径（m）</w:t>
                  </w:r>
                </w:p>
              </w:tc>
              <w:tc>
                <w:tcPr>
                  <w:tcW w:w="377" w:type="pct"/>
                  <w:vMerge w:val="restart"/>
                  <w:vAlign w:val="center"/>
                </w:tcPr>
                <w:p>
                  <w:pPr>
                    <w:keepNext/>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排气温度（℃）</w:t>
                  </w:r>
                </w:p>
              </w:tc>
              <w:tc>
                <w:tcPr>
                  <w:tcW w:w="415" w:type="pct"/>
                  <w:vMerge w:val="restart"/>
                  <w:vAlign w:val="center"/>
                </w:tcPr>
                <w:p>
                  <w:pPr>
                    <w:keepNext/>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6" w:type="pct"/>
                  <w:vMerge w:val="continue"/>
                  <w:vAlign w:val="center"/>
                </w:tcPr>
                <w:p>
                  <w:pPr>
                    <w:widowControl/>
                    <w:jc w:val="center"/>
                    <w:rPr>
                      <w:rFonts w:hint="default" w:ascii="Times New Roman" w:hAnsi="Times New Roman" w:cs="Times New Roman"/>
                      <w:b/>
                      <w:bCs/>
                      <w:snapToGrid w:val="0"/>
                      <w:color w:val="auto"/>
                      <w:sz w:val="21"/>
                      <w:szCs w:val="21"/>
                      <w:highlight w:val="none"/>
                    </w:rPr>
                  </w:pPr>
                </w:p>
              </w:tc>
              <w:tc>
                <w:tcPr>
                  <w:tcW w:w="394" w:type="pct"/>
                  <w:vMerge w:val="continue"/>
                  <w:vAlign w:val="center"/>
                </w:tcPr>
                <w:p>
                  <w:pPr>
                    <w:widowControl/>
                    <w:jc w:val="center"/>
                    <w:rPr>
                      <w:rFonts w:hint="default" w:ascii="Times New Roman" w:hAnsi="Times New Roman" w:cs="Times New Roman"/>
                      <w:b/>
                      <w:bCs/>
                      <w:snapToGrid w:val="0"/>
                      <w:color w:val="auto"/>
                      <w:sz w:val="21"/>
                      <w:szCs w:val="21"/>
                      <w:highlight w:val="none"/>
                    </w:rPr>
                  </w:pPr>
                </w:p>
              </w:tc>
              <w:tc>
                <w:tcPr>
                  <w:tcW w:w="457" w:type="pct"/>
                  <w:vMerge w:val="continue"/>
                  <w:vAlign w:val="center"/>
                </w:tcPr>
                <w:p>
                  <w:pPr>
                    <w:widowControl/>
                    <w:jc w:val="center"/>
                    <w:rPr>
                      <w:rFonts w:hint="default" w:ascii="Times New Roman" w:hAnsi="Times New Roman" w:cs="Times New Roman"/>
                      <w:b/>
                      <w:bCs/>
                      <w:snapToGrid w:val="0"/>
                      <w:color w:val="auto"/>
                      <w:sz w:val="21"/>
                      <w:szCs w:val="21"/>
                      <w:highlight w:val="none"/>
                    </w:rPr>
                  </w:pPr>
                </w:p>
              </w:tc>
              <w:tc>
                <w:tcPr>
                  <w:tcW w:w="769" w:type="pct"/>
                  <w:vMerge w:val="continue"/>
                  <w:vAlign w:val="center"/>
                </w:tcPr>
                <w:p>
                  <w:pPr>
                    <w:widowControl/>
                    <w:jc w:val="center"/>
                    <w:rPr>
                      <w:rFonts w:hint="default" w:ascii="Times New Roman" w:hAnsi="Times New Roman" w:cs="Times New Roman"/>
                      <w:b/>
                      <w:bCs/>
                      <w:snapToGrid w:val="0"/>
                      <w:color w:val="auto"/>
                      <w:sz w:val="21"/>
                      <w:szCs w:val="21"/>
                      <w:highlight w:val="none"/>
                    </w:rPr>
                  </w:pPr>
                </w:p>
              </w:tc>
              <w:tc>
                <w:tcPr>
                  <w:tcW w:w="834"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经度</w:t>
                  </w:r>
                </w:p>
              </w:tc>
              <w:tc>
                <w:tcPr>
                  <w:tcW w:w="795" w:type="pct"/>
                  <w:vAlign w:val="center"/>
                </w:tcPr>
                <w:p>
                  <w:pPr>
                    <w:widowControl/>
                    <w:jc w:val="center"/>
                    <w:rPr>
                      <w:rFonts w:hint="default" w:ascii="Times New Roman" w:hAnsi="Times New Roman" w:cs="Times New Roman"/>
                      <w:snapToGrid w:val="0"/>
                      <w:color w:val="auto"/>
                      <w:kern w:val="20"/>
                      <w:sz w:val="21"/>
                      <w:szCs w:val="21"/>
                      <w:highlight w:val="none"/>
                    </w:rPr>
                  </w:pPr>
                  <w:r>
                    <w:rPr>
                      <w:rFonts w:hint="default" w:ascii="Times New Roman" w:hAnsi="Times New Roman" w:cs="Times New Roman"/>
                      <w:snapToGrid w:val="0"/>
                      <w:color w:val="auto"/>
                      <w:sz w:val="21"/>
                      <w:szCs w:val="21"/>
                      <w:highlight w:val="none"/>
                    </w:rPr>
                    <w:t>纬度</w:t>
                  </w:r>
                </w:p>
              </w:tc>
              <w:tc>
                <w:tcPr>
                  <w:tcW w:w="379" w:type="pct"/>
                  <w:vMerge w:val="continue"/>
                  <w:vAlign w:val="center"/>
                </w:tcPr>
                <w:p>
                  <w:pPr>
                    <w:widowControl/>
                    <w:jc w:val="center"/>
                    <w:rPr>
                      <w:rFonts w:hint="default" w:ascii="Times New Roman" w:hAnsi="Times New Roman" w:cs="Times New Roman"/>
                      <w:b/>
                      <w:bCs/>
                      <w:snapToGrid w:val="0"/>
                      <w:color w:val="auto"/>
                      <w:sz w:val="21"/>
                      <w:szCs w:val="21"/>
                      <w:highlight w:val="none"/>
                    </w:rPr>
                  </w:pPr>
                </w:p>
              </w:tc>
              <w:tc>
                <w:tcPr>
                  <w:tcW w:w="379" w:type="pct"/>
                  <w:vMerge w:val="continue"/>
                  <w:vAlign w:val="center"/>
                </w:tcPr>
                <w:p>
                  <w:pPr>
                    <w:widowControl/>
                    <w:jc w:val="center"/>
                    <w:rPr>
                      <w:rFonts w:hint="default" w:ascii="Times New Roman" w:hAnsi="Times New Roman" w:cs="Times New Roman"/>
                      <w:b/>
                      <w:bCs/>
                      <w:snapToGrid w:val="0"/>
                      <w:color w:val="auto"/>
                      <w:sz w:val="21"/>
                      <w:szCs w:val="21"/>
                      <w:highlight w:val="none"/>
                    </w:rPr>
                  </w:pPr>
                </w:p>
              </w:tc>
              <w:tc>
                <w:tcPr>
                  <w:tcW w:w="377" w:type="pct"/>
                  <w:vMerge w:val="continue"/>
                  <w:vAlign w:val="center"/>
                </w:tcPr>
                <w:p>
                  <w:pPr>
                    <w:widowControl/>
                    <w:jc w:val="center"/>
                    <w:rPr>
                      <w:rFonts w:hint="default" w:ascii="Times New Roman" w:hAnsi="Times New Roman" w:cs="Times New Roman"/>
                      <w:b/>
                      <w:bCs/>
                      <w:snapToGrid w:val="0"/>
                      <w:color w:val="auto"/>
                      <w:sz w:val="21"/>
                      <w:szCs w:val="21"/>
                      <w:highlight w:val="none"/>
                    </w:rPr>
                  </w:pPr>
                </w:p>
              </w:tc>
              <w:tc>
                <w:tcPr>
                  <w:tcW w:w="415" w:type="pct"/>
                  <w:vMerge w:val="continue"/>
                  <w:vAlign w:val="center"/>
                </w:tcPr>
                <w:p>
                  <w:pPr>
                    <w:widowControl/>
                    <w:jc w:val="center"/>
                    <w:rPr>
                      <w:rFonts w:hint="default" w:ascii="Times New Roman" w:hAnsi="Times New Roman" w:cs="Times New Roman"/>
                      <w:b/>
                      <w:bCs/>
                      <w:snapToGrid w:val="0"/>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6"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1</w:t>
                  </w:r>
                </w:p>
              </w:tc>
              <w:tc>
                <w:tcPr>
                  <w:tcW w:w="394"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DA001</w:t>
                  </w:r>
                </w:p>
              </w:tc>
              <w:tc>
                <w:tcPr>
                  <w:tcW w:w="457"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排气筒P1</w:t>
                  </w:r>
                </w:p>
              </w:tc>
              <w:tc>
                <w:tcPr>
                  <w:tcW w:w="769"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颗粒物</w:t>
                  </w:r>
                </w:p>
              </w:tc>
              <w:tc>
                <w:tcPr>
                  <w:tcW w:w="834" w:type="pct"/>
                  <w:vAlign w:val="center"/>
                </w:tcPr>
                <w:p>
                  <w:pPr>
                    <w:widowControl/>
                    <w:jc w:val="center"/>
                    <w:rPr>
                      <w:rFonts w:hint="default" w:ascii="Times New Roman" w:hAnsi="Times New Roman" w:eastAsia="宋体" w:cs="Times New Roman"/>
                      <w:bCs/>
                      <w:snapToGrid w:val="0"/>
                      <w:color w:val="auto"/>
                      <w:spacing w:val="-10"/>
                      <w:sz w:val="21"/>
                      <w:szCs w:val="21"/>
                      <w:highlight w:val="none"/>
                      <w:lang w:val="en-US" w:eastAsia="zh-CN"/>
                    </w:rPr>
                  </w:pPr>
                  <w:r>
                    <w:rPr>
                      <w:rFonts w:hint="eastAsia" w:cs="Times New Roman"/>
                      <w:bCs/>
                      <w:snapToGrid w:val="0"/>
                      <w:color w:val="auto"/>
                      <w:spacing w:val="-10"/>
                      <w:sz w:val="21"/>
                      <w:szCs w:val="21"/>
                      <w:highlight w:val="none"/>
                      <w:lang w:val="en-US" w:eastAsia="zh-CN"/>
                    </w:rPr>
                    <w:t>117.458487°</w:t>
                  </w:r>
                </w:p>
              </w:tc>
              <w:tc>
                <w:tcPr>
                  <w:tcW w:w="795" w:type="pct"/>
                  <w:vAlign w:val="center"/>
                </w:tcPr>
                <w:p>
                  <w:pPr>
                    <w:widowControl/>
                    <w:jc w:val="center"/>
                    <w:rPr>
                      <w:rFonts w:hint="default" w:ascii="Times New Roman" w:hAnsi="Times New Roman" w:eastAsia="宋体" w:cs="Times New Roman"/>
                      <w:bCs/>
                      <w:snapToGrid w:val="0"/>
                      <w:color w:val="auto"/>
                      <w:spacing w:val="-10"/>
                      <w:sz w:val="21"/>
                      <w:szCs w:val="21"/>
                      <w:highlight w:val="none"/>
                      <w:lang w:val="en-US" w:eastAsia="zh-CN"/>
                    </w:rPr>
                  </w:pPr>
                  <w:r>
                    <w:rPr>
                      <w:rFonts w:hint="eastAsia" w:cs="Times New Roman"/>
                      <w:bCs/>
                      <w:snapToGrid w:val="0"/>
                      <w:color w:val="auto"/>
                      <w:spacing w:val="-10"/>
                      <w:sz w:val="21"/>
                      <w:szCs w:val="21"/>
                      <w:highlight w:val="none"/>
                      <w:lang w:val="en-US" w:eastAsia="zh-CN"/>
                    </w:rPr>
                    <w:t>38.818351°</w:t>
                  </w:r>
                </w:p>
              </w:tc>
              <w:tc>
                <w:tcPr>
                  <w:tcW w:w="379"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1</w:t>
                  </w:r>
                  <w:r>
                    <w:rPr>
                      <w:rFonts w:hint="eastAsia" w:cs="Times New Roman"/>
                      <w:snapToGrid w:val="0"/>
                      <w:color w:val="auto"/>
                      <w:sz w:val="21"/>
                      <w:szCs w:val="21"/>
                      <w:highlight w:val="none"/>
                      <w:lang w:val="en-US" w:eastAsia="zh-CN"/>
                    </w:rPr>
                    <w:t>8</w:t>
                  </w:r>
                </w:p>
              </w:tc>
              <w:tc>
                <w:tcPr>
                  <w:tcW w:w="379" w:type="pct"/>
                  <w:vAlign w:val="center"/>
                </w:tcPr>
                <w:p>
                  <w:pPr>
                    <w:widowControl/>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0.4</w:t>
                  </w:r>
                </w:p>
              </w:tc>
              <w:tc>
                <w:tcPr>
                  <w:tcW w:w="377"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20</w:t>
                  </w:r>
                </w:p>
              </w:tc>
              <w:tc>
                <w:tcPr>
                  <w:tcW w:w="415"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6"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2</w:t>
                  </w:r>
                </w:p>
              </w:tc>
              <w:tc>
                <w:tcPr>
                  <w:tcW w:w="394"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DA00</w:t>
                  </w:r>
                  <w:r>
                    <w:rPr>
                      <w:rFonts w:hint="eastAsia" w:ascii="Times New Roman" w:hAnsi="Times New Roman" w:cs="Times New Roman"/>
                      <w:snapToGrid w:val="0"/>
                      <w:color w:val="auto"/>
                      <w:sz w:val="21"/>
                      <w:szCs w:val="21"/>
                      <w:highlight w:val="none"/>
                      <w:lang w:val="en-US" w:eastAsia="zh-CN"/>
                    </w:rPr>
                    <w:t>2</w:t>
                  </w:r>
                </w:p>
              </w:tc>
              <w:tc>
                <w:tcPr>
                  <w:tcW w:w="457"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排气筒P</w:t>
                  </w:r>
                  <w:r>
                    <w:rPr>
                      <w:rFonts w:hint="eastAsia" w:ascii="Times New Roman" w:hAnsi="Times New Roman" w:cs="Times New Roman"/>
                      <w:snapToGrid w:val="0"/>
                      <w:color w:val="auto"/>
                      <w:sz w:val="21"/>
                      <w:szCs w:val="21"/>
                      <w:highlight w:val="none"/>
                      <w:lang w:val="en-US" w:eastAsia="zh-CN"/>
                    </w:rPr>
                    <w:t>2</w:t>
                  </w:r>
                </w:p>
              </w:tc>
              <w:tc>
                <w:tcPr>
                  <w:tcW w:w="769"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颗粒物</w:t>
                  </w:r>
                </w:p>
              </w:tc>
              <w:tc>
                <w:tcPr>
                  <w:tcW w:w="834" w:type="pct"/>
                  <w:vAlign w:val="center"/>
                </w:tcPr>
                <w:p>
                  <w:pPr>
                    <w:widowControl/>
                    <w:jc w:val="center"/>
                    <w:rPr>
                      <w:rFonts w:hint="default" w:ascii="Times New Roman" w:hAnsi="Times New Roman" w:eastAsia="宋体" w:cs="Times New Roman"/>
                      <w:bCs/>
                      <w:snapToGrid w:val="0"/>
                      <w:color w:val="auto"/>
                      <w:spacing w:val="-10"/>
                      <w:sz w:val="21"/>
                      <w:szCs w:val="21"/>
                      <w:highlight w:val="none"/>
                      <w:lang w:val="en-US" w:eastAsia="zh-CN"/>
                    </w:rPr>
                  </w:pPr>
                  <w:r>
                    <w:rPr>
                      <w:rFonts w:hint="eastAsia" w:cs="Times New Roman"/>
                      <w:bCs/>
                      <w:snapToGrid w:val="0"/>
                      <w:color w:val="auto"/>
                      <w:spacing w:val="-10"/>
                      <w:sz w:val="21"/>
                      <w:szCs w:val="21"/>
                      <w:highlight w:val="none"/>
                      <w:lang w:val="en-US" w:eastAsia="zh-CN"/>
                    </w:rPr>
                    <w:t>117.458471°</w:t>
                  </w:r>
                </w:p>
              </w:tc>
              <w:tc>
                <w:tcPr>
                  <w:tcW w:w="795" w:type="pct"/>
                  <w:vAlign w:val="center"/>
                </w:tcPr>
                <w:p>
                  <w:pPr>
                    <w:widowControl/>
                    <w:jc w:val="center"/>
                    <w:rPr>
                      <w:rFonts w:hint="default" w:ascii="Times New Roman" w:hAnsi="Times New Roman" w:eastAsia="宋体" w:cs="Times New Roman"/>
                      <w:bCs/>
                      <w:snapToGrid w:val="0"/>
                      <w:color w:val="auto"/>
                      <w:spacing w:val="-10"/>
                      <w:sz w:val="21"/>
                      <w:szCs w:val="21"/>
                      <w:highlight w:val="none"/>
                      <w:lang w:val="en-US" w:eastAsia="zh-CN"/>
                    </w:rPr>
                  </w:pPr>
                  <w:r>
                    <w:rPr>
                      <w:rFonts w:hint="eastAsia" w:cs="Times New Roman"/>
                      <w:bCs/>
                      <w:snapToGrid w:val="0"/>
                      <w:color w:val="auto"/>
                      <w:spacing w:val="-10"/>
                      <w:sz w:val="21"/>
                      <w:szCs w:val="21"/>
                      <w:highlight w:val="none"/>
                      <w:lang w:val="en-US" w:eastAsia="zh-CN"/>
                    </w:rPr>
                    <w:t>38.818595°</w:t>
                  </w:r>
                </w:p>
              </w:tc>
              <w:tc>
                <w:tcPr>
                  <w:tcW w:w="379"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1</w:t>
                  </w:r>
                  <w:r>
                    <w:rPr>
                      <w:rFonts w:hint="eastAsia" w:cs="Times New Roman"/>
                      <w:snapToGrid w:val="0"/>
                      <w:color w:val="auto"/>
                      <w:sz w:val="21"/>
                      <w:szCs w:val="21"/>
                      <w:highlight w:val="none"/>
                      <w:lang w:val="en-US" w:eastAsia="zh-CN"/>
                    </w:rPr>
                    <w:t>8</w:t>
                  </w:r>
                </w:p>
              </w:tc>
              <w:tc>
                <w:tcPr>
                  <w:tcW w:w="379" w:type="pct"/>
                  <w:vAlign w:val="center"/>
                </w:tcPr>
                <w:p>
                  <w:pPr>
                    <w:widowControl/>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0.5</w:t>
                  </w:r>
                </w:p>
              </w:tc>
              <w:tc>
                <w:tcPr>
                  <w:tcW w:w="377"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20</w:t>
                  </w:r>
                </w:p>
              </w:tc>
              <w:tc>
                <w:tcPr>
                  <w:tcW w:w="415"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6"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3</w:t>
                  </w:r>
                </w:p>
              </w:tc>
              <w:tc>
                <w:tcPr>
                  <w:tcW w:w="394"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DA00</w:t>
                  </w:r>
                  <w:r>
                    <w:rPr>
                      <w:rFonts w:hint="eastAsia" w:ascii="Times New Roman" w:hAnsi="Times New Roman" w:cs="Times New Roman"/>
                      <w:snapToGrid w:val="0"/>
                      <w:color w:val="auto"/>
                      <w:sz w:val="21"/>
                      <w:szCs w:val="21"/>
                      <w:highlight w:val="none"/>
                      <w:lang w:val="en-US" w:eastAsia="zh-CN"/>
                    </w:rPr>
                    <w:t>3</w:t>
                  </w:r>
                </w:p>
              </w:tc>
              <w:tc>
                <w:tcPr>
                  <w:tcW w:w="457"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排气筒P</w:t>
                  </w:r>
                  <w:r>
                    <w:rPr>
                      <w:rFonts w:hint="eastAsia" w:ascii="Times New Roman" w:hAnsi="Times New Roman" w:cs="Times New Roman"/>
                      <w:snapToGrid w:val="0"/>
                      <w:color w:val="auto"/>
                      <w:sz w:val="21"/>
                      <w:szCs w:val="21"/>
                      <w:highlight w:val="none"/>
                      <w:lang w:val="en-US" w:eastAsia="zh-CN"/>
                    </w:rPr>
                    <w:t>3</w:t>
                  </w:r>
                </w:p>
              </w:tc>
              <w:tc>
                <w:tcPr>
                  <w:tcW w:w="769"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颗粒物</w:t>
                  </w:r>
                </w:p>
              </w:tc>
              <w:tc>
                <w:tcPr>
                  <w:tcW w:w="834" w:type="pct"/>
                  <w:vAlign w:val="center"/>
                </w:tcPr>
                <w:p>
                  <w:pPr>
                    <w:widowControl/>
                    <w:jc w:val="center"/>
                    <w:rPr>
                      <w:rFonts w:hint="default" w:ascii="Times New Roman" w:hAnsi="Times New Roman" w:eastAsia="宋体" w:cs="Times New Roman"/>
                      <w:bCs/>
                      <w:snapToGrid w:val="0"/>
                      <w:color w:val="auto"/>
                      <w:spacing w:val="-10"/>
                      <w:sz w:val="21"/>
                      <w:szCs w:val="21"/>
                      <w:highlight w:val="none"/>
                      <w:lang w:val="en-US" w:eastAsia="zh-CN"/>
                    </w:rPr>
                  </w:pPr>
                  <w:r>
                    <w:rPr>
                      <w:rFonts w:hint="eastAsia" w:cs="Times New Roman"/>
                      <w:bCs/>
                      <w:snapToGrid w:val="0"/>
                      <w:color w:val="auto"/>
                      <w:spacing w:val="-10"/>
                      <w:sz w:val="21"/>
                      <w:szCs w:val="21"/>
                      <w:highlight w:val="none"/>
                      <w:lang w:val="en-US" w:eastAsia="zh-CN"/>
                    </w:rPr>
                    <w:t>117.460702°</w:t>
                  </w:r>
                </w:p>
              </w:tc>
              <w:tc>
                <w:tcPr>
                  <w:tcW w:w="795" w:type="pct"/>
                  <w:vAlign w:val="center"/>
                </w:tcPr>
                <w:p>
                  <w:pPr>
                    <w:widowControl/>
                    <w:jc w:val="center"/>
                    <w:rPr>
                      <w:rFonts w:hint="default" w:ascii="Times New Roman" w:hAnsi="Times New Roman" w:eastAsia="宋体" w:cs="Times New Roman"/>
                      <w:bCs/>
                      <w:snapToGrid w:val="0"/>
                      <w:color w:val="auto"/>
                      <w:spacing w:val="-10"/>
                      <w:sz w:val="21"/>
                      <w:szCs w:val="21"/>
                      <w:highlight w:val="none"/>
                      <w:lang w:val="en-US" w:eastAsia="zh-CN"/>
                    </w:rPr>
                  </w:pPr>
                  <w:r>
                    <w:rPr>
                      <w:rFonts w:hint="eastAsia" w:cs="Times New Roman"/>
                      <w:bCs/>
                      <w:snapToGrid w:val="0"/>
                      <w:color w:val="auto"/>
                      <w:spacing w:val="-10"/>
                      <w:sz w:val="21"/>
                      <w:szCs w:val="21"/>
                      <w:highlight w:val="none"/>
                      <w:lang w:val="en-US" w:eastAsia="zh-CN"/>
                    </w:rPr>
                    <w:t>38.818591°</w:t>
                  </w:r>
                </w:p>
              </w:tc>
              <w:tc>
                <w:tcPr>
                  <w:tcW w:w="379"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1</w:t>
                  </w:r>
                  <w:r>
                    <w:rPr>
                      <w:rFonts w:hint="eastAsia" w:cs="Times New Roman"/>
                      <w:snapToGrid w:val="0"/>
                      <w:color w:val="auto"/>
                      <w:sz w:val="21"/>
                      <w:szCs w:val="21"/>
                      <w:highlight w:val="none"/>
                      <w:lang w:val="en-US" w:eastAsia="zh-CN"/>
                    </w:rPr>
                    <w:t>8</w:t>
                  </w:r>
                </w:p>
              </w:tc>
              <w:tc>
                <w:tcPr>
                  <w:tcW w:w="379" w:type="pct"/>
                  <w:vAlign w:val="center"/>
                </w:tcPr>
                <w:p>
                  <w:pPr>
                    <w:widowControl/>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0.4</w:t>
                  </w:r>
                </w:p>
              </w:tc>
              <w:tc>
                <w:tcPr>
                  <w:tcW w:w="377"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20</w:t>
                  </w:r>
                </w:p>
              </w:tc>
              <w:tc>
                <w:tcPr>
                  <w:tcW w:w="415"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6"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4</w:t>
                  </w:r>
                </w:p>
              </w:tc>
              <w:tc>
                <w:tcPr>
                  <w:tcW w:w="394"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DA00</w:t>
                  </w:r>
                  <w:r>
                    <w:rPr>
                      <w:rFonts w:hint="eastAsia" w:ascii="Times New Roman" w:hAnsi="Times New Roman" w:cs="Times New Roman"/>
                      <w:snapToGrid w:val="0"/>
                      <w:color w:val="auto"/>
                      <w:sz w:val="21"/>
                      <w:szCs w:val="21"/>
                      <w:highlight w:val="none"/>
                      <w:lang w:val="en-US" w:eastAsia="zh-CN"/>
                    </w:rPr>
                    <w:t>4</w:t>
                  </w:r>
                </w:p>
              </w:tc>
              <w:tc>
                <w:tcPr>
                  <w:tcW w:w="457"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排气筒P</w:t>
                  </w:r>
                  <w:r>
                    <w:rPr>
                      <w:rFonts w:hint="eastAsia" w:ascii="Times New Roman" w:hAnsi="Times New Roman" w:cs="Times New Roman"/>
                      <w:snapToGrid w:val="0"/>
                      <w:color w:val="auto"/>
                      <w:sz w:val="21"/>
                      <w:szCs w:val="21"/>
                      <w:highlight w:val="none"/>
                      <w:lang w:val="en-US" w:eastAsia="zh-CN"/>
                    </w:rPr>
                    <w:t>4</w:t>
                  </w:r>
                </w:p>
              </w:tc>
              <w:tc>
                <w:tcPr>
                  <w:tcW w:w="769"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颗粒物</w:t>
                  </w:r>
                </w:p>
              </w:tc>
              <w:tc>
                <w:tcPr>
                  <w:tcW w:w="834" w:type="pct"/>
                  <w:vAlign w:val="center"/>
                </w:tcPr>
                <w:p>
                  <w:pPr>
                    <w:widowControl/>
                    <w:jc w:val="center"/>
                    <w:rPr>
                      <w:rFonts w:hint="default" w:ascii="Times New Roman" w:hAnsi="Times New Roman" w:eastAsia="宋体" w:cs="Times New Roman"/>
                      <w:bCs/>
                      <w:snapToGrid w:val="0"/>
                      <w:color w:val="auto"/>
                      <w:spacing w:val="-10"/>
                      <w:sz w:val="21"/>
                      <w:szCs w:val="21"/>
                      <w:highlight w:val="none"/>
                      <w:lang w:val="en-US" w:eastAsia="zh-CN"/>
                    </w:rPr>
                  </w:pPr>
                  <w:r>
                    <w:rPr>
                      <w:rFonts w:hint="eastAsia" w:cs="Times New Roman"/>
                      <w:bCs/>
                      <w:snapToGrid w:val="0"/>
                      <w:color w:val="auto"/>
                      <w:spacing w:val="-10"/>
                      <w:sz w:val="21"/>
                      <w:szCs w:val="21"/>
                      <w:highlight w:val="none"/>
                      <w:lang w:val="en-US" w:eastAsia="zh-CN"/>
                    </w:rPr>
                    <w:t>117.459940°</w:t>
                  </w:r>
                </w:p>
              </w:tc>
              <w:tc>
                <w:tcPr>
                  <w:tcW w:w="795" w:type="pct"/>
                  <w:vAlign w:val="center"/>
                </w:tcPr>
                <w:p>
                  <w:pPr>
                    <w:widowControl/>
                    <w:jc w:val="center"/>
                    <w:rPr>
                      <w:rFonts w:hint="default" w:ascii="Times New Roman" w:hAnsi="Times New Roman" w:eastAsia="宋体" w:cs="Times New Roman"/>
                      <w:bCs/>
                      <w:snapToGrid w:val="0"/>
                      <w:color w:val="auto"/>
                      <w:spacing w:val="-10"/>
                      <w:sz w:val="21"/>
                      <w:szCs w:val="21"/>
                      <w:highlight w:val="none"/>
                      <w:lang w:val="en-US" w:eastAsia="zh-CN"/>
                    </w:rPr>
                  </w:pPr>
                  <w:r>
                    <w:rPr>
                      <w:rFonts w:hint="eastAsia" w:cs="Times New Roman"/>
                      <w:bCs/>
                      <w:snapToGrid w:val="0"/>
                      <w:color w:val="auto"/>
                      <w:spacing w:val="-10"/>
                      <w:sz w:val="21"/>
                      <w:szCs w:val="21"/>
                      <w:highlight w:val="none"/>
                      <w:lang w:val="en-US" w:eastAsia="zh-CN"/>
                    </w:rPr>
                    <w:t>38.818319°</w:t>
                  </w:r>
                </w:p>
              </w:tc>
              <w:tc>
                <w:tcPr>
                  <w:tcW w:w="379"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1</w:t>
                  </w:r>
                  <w:r>
                    <w:rPr>
                      <w:rFonts w:hint="eastAsia" w:cs="Times New Roman"/>
                      <w:snapToGrid w:val="0"/>
                      <w:color w:val="auto"/>
                      <w:sz w:val="21"/>
                      <w:szCs w:val="21"/>
                      <w:highlight w:val="none"/>
                      <w:lang w:val="en-US" w:eastAsia="zh-CN"/>
                    </w:rPr>
                    <w:t>8</w:t>
                  </w:r>
                </w:p>
              </w:tc>
              <w:tc>
                <w:tcPr>
                  <w:tcW w:w="379" w:type="pct"/>
                  <w:vAlign w:val="center"/>
                </w:tcPr>
                <w:p>
                  <w:pPr>
                    <w:widowControl/>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0.5</w:t>
                  </w:r>
                </w:p>
              </w:tc>
              <w:tc>
                <w:tcPr>
                  <w:tcW w:w="377"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20</w:t>
                  </w:r>
                </w:p>
              </w:tc>
              <w:tc>
                <w:tcPr>
                  <w:tcW w:w="415"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6"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5</w:t>
                  </w:r>
                </w:p>
              </w:tc>
              <w:tc>
                <w:tcPr>
                  <w:tcW w:w="394"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DA00</w:t>
                  </w:r>
                  <w:r>
                    <w:rPr>
                      <w:rFonts w:hint="eastAsia" w:ascii="Times New Roman" w:hAnsi="Times New Roman" w:cs="Times New Roman"/>
                      <w:snapToGrid w:val="0"/>
                      <w:color w:val="auto"/>
                      <w:sz w:val="21"/>
                      <w:szCs w:val="21"/>
                      <w:highlight w:val="none"/>
                      <w:lang w:val="en-US" w:eastAsia="zh-CN"/>
                    </w:rPr>
                    <w:t>5</w:t>
                  </w:r>
                </w:p>
              </w:tc>
              <w:tc>
                <w:tcPr>
                  <w:tcW w:w="457"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排气筒P</w:t>
                  </w:r>
                  <w:r>
                    <w:rPr>
                      <w:rFonts w:hint="eastAsia" w:ascii="Times New Roman" w:hAnsi="Times New Roman" w:cs="Times New Roman"/>
                      <w:snapToGrid w:val="0"/>
                      <w:color w:val="auto"/>
                      <w:sz w:val="21"/>
                      <w:szCs w:val="21"/>
                      <w:highlight w:val="none"/>
                      <w:lang w:val="en-US" w:eastAsia="zh-CN"/>
                    </w:rPr>
                    <w:t>5</w:t>
                  </w:r>
                </w:p>
              </w:tc>
              <w:tc>
                <w:tcPr>
                  <w:tcW w:w="769"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颗粒物</w:t>
                  </w:r>
                </w:p>
              </w:tc>
              <w:tc>
                <w:tcPr>
                  <w:tcW w:w="834" w:type="pct"/>
                  <w:vAlign w:val="center"/>
                </w:tcPr>
                <w:p>
                  <w:pPr>
                    <w:widowControl/>
                    <w:jc w:val="center"/>
                    <w:rPr>
                      <w:rFonts w:hint="default" w:ascii="Times New Roman" w:hAnsi="Times New Roman" w:eastAsia="宋体" w:cs="Times New Roman"/>
                      <w:bCs/>
                      <w:snapToGrid w:val="0"/>
                      <w:color w:val="auto"/>
                      <w:spacing w:val="-10"/>
                      <w:sz w:val="21"/>
                      <w:szCs w:val="21"/>
                      <w:highlight w:val="none"/>
                      <w:lang w:val="en-US" w:eastAsia="zh-CN"/>
                    </w:rPr>
                  </w:pPr>
                  <w:r>
                    <w:rPr>
                      <w:rFonts w:hint="eastAsia" w:cs="Times New Roman"/>
                      <w:bCs/>
                      <w:snapToGrid w:val="0"/>
                      <w:color w:val="auto"/>
                      <w:spacing w:val="-10"/>
                      <w:sz w:val="21"/>
                      <w:szCs w:val="21"/>
                      <w:highlight w:val="none"/>
                      <w:lang w:val="en-US" w:eastAsia="zh-CN"/>
                    </w:rPr>
                    <w:t>117.459281°</w:t>
                  </w:r>
                </w:p>
              </w:tc>
              <w:tc>
                <w:tcPr>
                  <w:tcW w:w="795" w:type="pct"/>
                  <w:vAlign w:val="center"/>
                </w:tcPr>
                <w:p>
                  <w:pPr>
                    <w:widowControl/>
                    <w:jc w:val="center"/>
                    <w:rPr>
                      <w:rFonts w:hint="default" w:ascii="Times New Roman" w:hAnsi="Times New Roman" w:eastAsia="宋体" w:cs="Times New Roman"/>
                      <w:bCs/>
                      <w:snapToGrid w:val="0"/>
                      <w:color w:val="auto"/>
                      <w:spacing w:val="-10"/>
                      <w:sz w:val="21"/>
                      <w:szCs w:val="21"/>
                      <w:highlight w:val="none"/>
                      <w:lang w:val="en-US" w:eastAsia="zh-CN"/>
                    </w:rPr>
                  </w:pPr>
                  <w:r>
                    <w:rPr>
                      <w:rFonts w:hint="eastAsia" w:cs="Times New Roman"/>
                      <w:bCs/>
                      <w:snapToGrid w:val="0"/>
                      <w:color w:val="auto"/>
                      <w:spacing w:val="-10"/>
                      <w:sz w:val="21"/>
                      <w:szCs w:val="21"/>
                      <w:highlight w:val="none"/>
                      <w:lang w:val="en-US" w:eastAsia="zh-CN"/>
                    </w:rPr>
                    <w:t>38.818319°</w:t>
                  </w:r>
                </w:p>
              </w:tc>
              <w:tc>
                <w:tcPr>
                  <w:tcW w:w="379"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1</w:t>
                  </w:r>
                  <w:r>
                    <w:rPr>
                      <w:rFonts w:hint="eastAsia" w:cs="Times New Roman"/>
                      <w:snapToGrid w:val="0"/>
                      <w:color w:val="auto"/>
                      <w:sz w:val="21"/>
                      <w:szCs w:val="21"/>
                      <w:highlight w:val="none"/>
                      <w:lang w:val="en-US" w:eastAsia="zh-CN"/>
                    </w:rPr>
                    <w:t>8</w:t>
                  </w:r>
                </w:p>
              </w:tc>
              <w:tc>
                <w:tcPr>
                  <w:tcW w:w="379" w:type="pct"/>
                  <w:vAlign w:val="center"/>
                </w:tcPr>
                <w:p>
                  <w:pPr>
                    <w:widowControl/>
                    <w:jc w:val="center"/>
                    <w:rPr>
                      <w:rFonts w:hint="default"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0.4</w:t>
                  </w:r>
                </w:p>
              </w:tc>
              <w:tc>
                <w:tcPr>
                  <w:tcW w:w="377"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20</w:t>
                  </w:r>
                </w:p>
              </w:tc>
              <w:tc>
                <w:tcPr>
                  <w:tcW w:w="415"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96"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6</w:t>
                  </w:r>
                </w:p>
              </w:tc>
              <w:tc>
                <w:tcPr>
                  <w:tcW w:w="394"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DA00</w:t>
                  </w:r>
                  <w:r>
                    <w:rPr>
                      <w:rFonts w:hint="eastAsia" w:cs="Times New Roman"/>
                      <w:snapToGrid w:val="0"/>
                      <w:color w:val="auto"/>
                      <w:sz w:val="21"/>
                      <w:szCs w:val="21"/>
                      <w:highlight w:val="none"/>
                      <w:lang w:val="en-US" w:eastAsia="zh-CN"/>
                    </w:rPr>
                    <w:t>6</w:t>
                  </w:r>
                </w:p>
              </w:tc>
              <w:tc>
                <w:tcPr>
                  <w:tcW w:w="457"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cs="Times New Roman"/>
                      <w:snapToGrid w:val="0"/>
                      <w:color w:val="auto"/>
                      <w:sz w:val="21"/>
                      <w:szCs w:val="21"/>
                      <w:highlight w:val="none"/>
                    </w:rPr>
                    <w:t>排气筒P</w:t>
                  </w:r>
                  <w:r>
                    <w:rPr>
                      <w:rFonts w:hint="eastAsia" w:cs="Times New Roman"/>
                      <w:snapToGrid w:val="0"/>
                      <w:color w:val="auto"/>
                      <w:sz w:val="21"/>
                      <w:szCs w:val="21"/>
                      <w:highlight w:val="none"/>
                      <w:lang w:val="en-US" w:eastAsia="zh-CN"/>
                    </w:rPr>
                    <w:t>6</w:t>
                  </w:r>
                </w:p>
              </w:tc>
              <w:tc>
                <w:tcPr>
                  <w:tcW w:w="769" w:type="pct"/>
                  <w:vAlign w:val="center"/>
                </w:tcPr>
                <w:p>
                  <w:pPr>
                    <w:widowControl/>
                    <w:jc w:val="center"/>
                    <w:rPr>
                      <w:rFonts w:hint="eastAsia" w:ascii="Times New Roman" w:hAnsi="Times New Roman" w:eastAsia="宋体" w:cs="Times New Roman"/>
                      <w:snapToGrid w:val="0"/>
                      <w:color w:val="auto"/>
                      <w:sz w:val="21"/>
                      <w:szCs w:val="21"/>
                      <w:highlight w:val="none"/>
                      <w:lang w:eastAsia="zh-CN"/>
                    </w:rPr>
                  </w:pPr>
                  <w:r>
                    <w:rPr>
                      <w:rFonts w:hint="default" w:ascii="Times New Roman" w:hAnsi="Times New Roman" w:cs="Times New Roman"/>
                      <w:snapToGrid w:val="0"/>
                      <w:color w:val="auto"/>
                      <w:sz w:val="21"/>
                      <w:szCs w:val="21"/>
                      <w:highlight w:val="none"/>
                    </w:rPr>
                    <w:t>TRVOC、非甲烷总烃、二甲苯、</w:t>
                  </w:r>
                  <w:r>
                    <w:rPr>
                      <w:rFonts w:hint="eastAsia" w:cs="Times New Roman"/>
                      <w:snapToGrid w:val="0"/>
                      <w:color w:val="auto"/>
                      <w:sz w:val="21"/>
                      <w:szCs w:val="21"/>
                      <w:highlight w:val="none"/>
                      <w:lang w:val="en-US" w:eastAsia="zh-CN"/>
                    </w:rPr>
                    <w:t>乙苯</w:t>
                  </w:r>
                  <w:r>
                    <w:rPr>
                      <w:rFonts w:hint="default" w:ascii="Times New Roman" w:hAnsi="Times New Roman" w:cs="Times New Roman"/>
                      <w:snapToGrid w:val="0"/>
                      <w:color w:val="auto"/>
                      <w:sz w:val="21"/>
                      <w:szCs w:val="21"/>
                      <w:highlight w:val="none"/>
                    </w:rPr>
                    <w:t>、</w:t>
                  </w:r>
                  <w:r>
                    <w:rPr>
                      <w:rFonts w:hint="eastAsia" w:cs="Times New Roman"/>
                      <w:snapToGrid w:val="0"/>
                      <w:color w:val="auto"/>
                      <w:sz w:val="21"/>
                      <w:szCs w:val="21"/>
                      <w:highlight w:val="none"/>
                      <w:lang w:val="en-US" w:eastAsia="zh-CN"/>
                    </w:rPr>
                    <w:t>臭气浓度</w:t>
                  </w:r>
                </w:p>
              </w:tc>
              <w:tc>
                <w:tcPr>
                  <w:tcW w:w="834" w:type="pct"/>
                  <w:vAlign w:val="center"/>
                </w:tcPr>
                <w:p>
                  <w:pPr>
                    <w:widowControl/>
                    <w:jc w:val="center"/>
                    <w:rPr>
                      <w:rFonts w:hint="default" w:ascii="Times New Roman" w:hAnsi="Times New Roman" w:eastAsia="宋体" w:cs="Times New Roman"/>
                      <w:bCs/>
                      <w:snapToGrid w:val="0"/>
                      <w:color w:val="auto"/>
                      <w:spacing w:val="-10"/>
                      <w:sz w:val="21"/>
                      <w:szCs w:val="21"/>
                      <w:highlight w:val="none"/>
                      <w:lang w:val="en-US" w:eastAsia="zh-CN"/>
                    </w:rPr>
                  </w:pPr>
                  <w:r>
                    <w:rPr>
                      <w:rFonts w:hint="eastAsia" w:cs="Times New Roman"/>
                      <w:bCs/>
                      <w:snapToGrid w:val="0"/>
                      <w:color w:val="auto"/>
                      <w:spacing w:val="-10"/>
                      <w:sz w:val="21"/>
                      <w:szCs w:val="21"/>
                      <w:highlight w:val="none"/>
                      <w:lang w:val="en-US" w:eastAsia="zh-CN"/>
                    </w:rPr>
                    <w:t>117.458857°</w:t>
                  </w:r>
                </w:p>
              </w:tc>
              <w:tc>
                <w:tcPr>
                  <w:tcW w:w="795" w:type="pct"/>
                  <w:vAlign w:val="center"/>
                </w:tcPr>
                <w:p>
                  <w:pPr>
                    <w:widowControl/>
                    <w:jc w:val="center"/>
                    <w:rPr>
                      <w:rFonts w:hint="default" w:ascii="Times New Roman" w:hAnsi="Times New Roman" w:eastAsia="宋体" w:cs="Times New Roman"/>
                      <w:bCs/>
                      <w:snapToGrid w:val="0"/>
                      <w:color w:val="auto"/>
                      <w:spacing w:val="-10"/>
                      <w:sz w:val="21"/>
                      <w:szCs w:val="21"/>
                      <w:highlight w:val="none"/>
                      <w:lang w:val="en-US" w:eastAsia="zh-CN"/>
                    </w:rPr>
                  </w:pPr>
                  <w:r>
                    <w:rPr>
                      <w:rFonts w:hint="eastAsia" w:cs="Times New Roman"/>
                      <w:bCs/>
                      <w:snapToGrid w:val="0"/>
                      <w:color w:val="auto"/>
                      <w:spacing w:val="-10"/>
                      <w:sz w:val="21"/>
                      <w:szCs w:val="21"/>
                      <w:highlight w:val="none"/>
                      <w:lang w:val="en-US" w:eastAsia="zh-CN"/>
                    </w:rPr>
                    <w:t>38.818954°</w:t>
                  </w:r>
                </w:p>
              </w:tc>
              <w:tc>
                <w:tcPr>
                  <w:tcW w:w="379"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15</w:t>
                  </w:r>
                </w:p>
              </w:tc>
              <w:tc>
                <w:tcPr>
                  <w:tcW w:w="379" w:type="pct"/>
                  <w:vAlign w:val="center"/>
                </w:tcPr>
                <w:p>
                  <w:pPr>
                    <w:widowControl/>
                    <w:jc w:val="center"/>
                    <w:rPr>
                      <w:rFonts w:hint="eastAsia" w:ascii="Times New Roman" w:hAnsi="Times New Roman" w:eastAsia="宋体" w:cs="Times New Roman"/>
                      <w:snapToGrid w:val="0"/>
                      <w:color w:val="auto"/>
                      <w:sz w:val="21"/>
                      <w:szCs w:val="21"/>
                      <w:highlight w:val="none"/>
                      <w:lang w:val="en-US" w:eastAsia="zh-CN"/>
                    </w:rPr>
                  </w:pPr>
                  <w:r>
                    <w:rPr>
                      <w:rFonts w:hint="eastAsia" w:cs="Times New Roman"/>
                      <w:snapToGrid w:val="0"/>
                      <w:color w:val="auto"/>
                      <w:sz w:val="21"/>
                      <w:szCs w:val="21"/>
                      <w:highlight w:val="none"/>
                      <w:lang w:val="en-US" w:eastAsia="zh-CN"/>
                    </w:rPr>
                    <w:t>1</w:t>
                  </w:r>
                </w:p>
              </w:tc>
              <w:tc>
                <w:tcPr>
                  <w:tcW w:w="377"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20</w:t>
                  </w:r>
                </w:p>
              </w:tc>
              <w:tc>
                <w:tcPr>
                  <w:tcW w:w="415" w:type="pct"/>
                  <w:vAlign w:val="center"/>
                </w:tcPr>
                <w:p>
                  <w:pPr>
                    <w:widowControl/>
                    <w:jc w:val="center"/>
                    <w:rPr>
                      <w:rFonts w:hint="default" w:ascii="Times New Roman" w:hAnsi="Times New Roman" w:cs="Times New Roman"/>
                      <w:snapToGrid w:val="0"/>
                      <w:color w:val="auto"/>
                      <w:sz w:val="21"/>
                      <w:szCs w:val="21"/>
                      <w:highlight w:val="none"/>
                    </w:rPr>
                  </w:pPr>
                  <w:r>
                    <w:rPr>
                      <w:rFonts w:hint="default" w:ascii="Times New Roman" w:hAnsi="Times New Roman" w:cs="Times New Roman"/>
                      <w:snapToGrid w:val="0"/>
                      <w:color w:val="auto"/>
                      <w:sz w:val="21"/>
                      <w:szCs w:val="21"/>
                      <w:highlight w:val="none"/>
                    </w:rPr>
                    <w:t>一般排放口</w:t>
                  </w:r>
                </w:p>
              </w:tc>
            </w:tr>
          </w:tbl>
          <w:p>
            <w:pPr>
              <w:pStyle w:val="5"/>
              <w:spacing w:before="0" w:after="0" w:line="360" w:lineRule="auto"/>
              <w:ind w:firstLine="480" w:firstLineChars="200"/>
              <w:rPr>
                <w:rFonts w:hint="default" w:ascii="Times New Roman" w:hAnsi="Times New Roman" w:cs="Times New Roman"/>
                <w:b w:val="0"/>
                <w:bCs w:val="0"/>
                <w:caps w:val="0"/>
                <w:snapToGrid w:val="0"/>
                <w:color w:val="auto"/>
                <w:sz w:val="24"/>
                <w:szCs w:val="24"/>
                <w:highlight w:val="none"/>
              </w:rPr>
            </w:pPr>
            <w:r>
              <w:rPr>
                <w:rFonts w:hint="default" w:ascii="Times New Roman" w:hAnsi="Times New Roman" w:cs="Times New Roman"/>
                <w:b w:val="0"/>
                <w:bCs w:val="0"/>
                <w:caps w:val="0"/>
                <w:snapToGrid w:val="0"/>
                <w:color w:val="auto"/>
                <w:sz w:val="24"/>
                <w:szCs w:val="24"/>
                <w:highlight w:val="none"/>
              </w:rPr>
              <w:t>3.非正常工况源强分析</w:t>
            </w:r>
          </w:p>
          <w:p>
            <w:pPr>
              <w:pStyle w:val="5"/>
              <w:spacing w:before="0" w:after="0" w:line="360" w:lineRule="auto"/>
              <w:ind w:firstLine="480" w:firstLineChars="200"/>
              <w:rPr>
                <w:rFonts w:hint="default" w:ascii="Times New Roman" w:hAnsi="Times New Roman" w:cs="Times New Roman"/>
                <w:b w:val="0"/>
                <w:bCs w:val="0"/>
                <w:caps w:val="0"/>
                <w:snapToGrid w:val="0"/>
                <w:color w:val="auto"/>
                <w:sz w:val="24"/>
                <w:szCs w:val="24"/>
                <w:highlight w:val="none"/>
              </w:rPr>
            </w:pPr>
            <w:r>
              <w:rPr>
                <w:rFonts w:hint="default" w:ascii="Times New Roman" w:hAnsi="Times New Roman" w:cs="Times New Roman"/>
                <w:b w:val="0"/>
                <w:bCs w:val="0"/>
                <w:caps w:val="0"/>
                <w:snapToGrid w:val="0"/>
                <w:color w:val="auto"/>
                <w:sz w:val="24"/>
                <w:szCs w:val="24"/>
                <w:highlight w:val="none"/>
              </w:rPr>
              <w:t>（1）非正常工况情况分析</w:t>
            </w:r>
          </w:p>
          <w:p>
            <w:pPr>
              <w:pStyle w:val="10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非正常排放指生产过程中开停车（工、炉）、设备检修、工艺设备运转异常等非正常工况下的污染物排放，以及污染物排放控制措施达不到应有效率等情况下的排放。</w:t>
            </w:r>
          </w:p>
          <w:p>
            <w:pPr>
              <w:pStyle w:val="106"/>
              <w:ind w:firstLine="480"/>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rPr>
              <w:t>本项目不存在开停车、设备检修及工艺设备运转异常导致的非正常工况，本项目以治理设施故障情况下分析非正常工况污染物排放。</w:t>
            </w:r>
          </w:p>
          <w:p>
            <w:pPr>
              <w:pStyle w:val="106"/>
              <w:ind w:firstLine="480"/>
              <w:rPr>
                <w:rFonts w:hint="default" w:ascii="Times New Roman" w:hAnsi="Times New Roman" w:cs="Times New Roman"/>
                <w:b/>
                <w:bCs/>
                <w:color w:val="auto"/>
                <w:sz w:val="21"/>
                <w:szCs w:val="21"/>
                <w:highlight w:val="none"/>
              </w:rPr>
            </w:pPr>
            <w:r>
              <w:rPr>
                <w:rFonts w:hint="default" w:ascii="Times New Roman" w:hAnsi="Times New Roman" w:cs="Times New Roman"/>
                <w:color w:val="auto"/>
                <w:highlight w:val="none"/>
              </w:rPr>
              <w:t>在非正常工况下，各污染物排放情况见下表。</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表4-1</w:t>
            </w:r>
            <w:r>
              <w:rPr>
                <w:rFonts w:hint="eastAsia"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rPr>
              <w:t xml:space="preserve"> 污染源非正常排放量核算表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46"/>
              <w:gridCol w:w="1730"/>
              <w:gridCol w:w="1977"/>
              <w:gridCol w:w="1781"/>
              <w:gridCol w:w="2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76" w:type="pct"/>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排放口编号</w:t>
                  </w:r>
                </w:p>
              </w:tc>
              <w:tc>
                <w:tcPr>
                  <w:tcW w:w="952" w:type="pct"/>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污染物</w:t>
                  </w:r>
                </w:p>
              </w:tc>
              <w:tc>
                <w:tcPr>
                  <w:tcW w:w="1088" w:type="pct"/>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pacing w:val="-1"/>
                      <w:sz w:val="21"/>
                      <w:szCs w:val="21"/>
                      <w:highlight w:val="none"/>
                      <w:lang w:eastAsia="zh-CN"/>
                    </w:rPr>
                    <w:t>非正常排放</w:t>
                  </w:r>
                  <w:r>
                    <w:rPr>
                      <w:rFonts w:hint="default" w:ascii="Times New Roman" w:hAnsi="Times New Roman" w:cs="Times New Roman"/>
                      <w:color w:val="auto"/>
                      <w:sz w:val="21"/>
                      <w:szCs w:val="21"/>
                      <w:highlight w:val="none"/>
                      <w:lang w:eastAsia="zh-CN"/>
                    </w:rPr>
                    <w:t>浓度</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mg/m³)</w:t>
                  </w:r>
                </w:p>
              </w:tc>
              <w:tc>
                <w:tcPr>
                  <w:tcW w:w="980" w:type="pct"/>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非正常排放速率</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kg/h)</w:t>
                  </w:r>
                </w:p>
              </w:tc>
              <w:tc>
                <w:tcPr>
                  <w:tcW w:w="1403" w:type="pct"/>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9" w:hRule="atLeast"/>
                <w:jc w:val="center"/>
              </w:trPr>
              <w:tc>
                <w:tcPr>
                  <w:tcW w:w="982" w:type="dxa"/>
                  <w:vAlign w:val="center"/>
                </w:tcPr>
                <w:p>
                  <w:pPr>
                    <w:widowControl/>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snapToGrid w:val="0"/>
                      <w:color w:val="auto"/>
                      <w:sz w:val="21"/>
                      <w:szCs w:val="21"/>
                      <w:highlight w:val="none"/>
                    </w:rPr>
                    <w:t>排气筒P1</w:t>
                  </w:r>
                </w:p>
              </w:tc>
              <w:tc>
                <w:tcPr>
                  <w:tcW w:w="1623" w:type="dxa"/>
                  <w:vAlign w:val="center"/>
                </w:tcPr>
                <w:p>
                  <w:pPr>
                    <w:widowControl/>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snapToGrid w:val="0"/>
                      <w:color w:val="auto"/>
                      <w:sz w:val="21"/>
                      <w:szCs w:val="21"/>
                      <w:highlight w:val="none"/>
                    </w:rPr>
                    <w:t>颗粒物</w:t>
                  </w:r>
                </w:p>
              </w:tc>
              <w:tc>
                <w:tcPr>
                  <w:tcW w:w="1855" w:type="dxa"/>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12.3</w:t>
                  </w:r>
                </w:p>
              </w:tc>
              <w:tc>
                <w:tcPr>
                  <w:tcW w:w="1671" w:type="dxa"/>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0.07364</w:t>
                  </w:r>
                </w:p>
              </w:tc>
              <w:tc>
                <w:tcPr>
                  <w:tcW w:w="1403" w:type="pct"/>
                  <w:vMerge w:val="restart"/>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当设施出现故障时应立停止生产，直至修复。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9" w:hRule="atLeast"/>
                <w:jc w:val="center"/>
              </w:trPr>
              <w:tc>
                <w:tcPr>
                  <w:tcW w:w="982" w:type="dxa"/>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rPr>
                    <w:t>排气筒P</w:t>
                  </w:r>
                  <w:r>
                    <w:rPr>
                      <w:rFonts w:hint="eastAsia" w:ascii="Times New Roman" w:hAnsi="Times New Roman" w:cs="Times New Roman"/>
                      <w:snapToGrid w:val="0"/>
                      <w:color w:val="auto"/>
                      <w:sz w:val="21"/>
                      <w:szCs w:val="21"/>
                      <w:highlight w:val="none"/>
                      <w:lang w:val="en-US" w:eastAsia="zh-CN"/>
                    </w:rPr>
                    <w:t>2</w:t>
                  </w:r>
                </w:p>
              </w:tc>
              <w:tc>
                <w:tcPr>
                  <w:tcW w:w="1623" w:type="dxa"/>
                  <w:vAlign w:val="center"/>
                </w:tcPr>
                <w:p>
                  <w:pPr>
                    <w:widowControl/>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snapToGrid w:val="0"/>
                      <w:color w:val="auto"/>
                      <w:sz w:val="21"/>
                      <w:szCs w:val="21"/>
                      <w:highlight w:val="none"/>
                    </w:rPr>
                    <w:t>颗粒物</w:t>
                  </w:r>
                </w:p>
              </w:tc>
              <w:tc>
                <w:tcPr>
                  <w:tcW w:w="1855" w:type="dxa"/>
                  <w:vAlign w:val="center"/>
                </w:tcPr>
                <w:p>
                  <w:pPr>
                    <w:pStyle w:val="73"/>
                    <w:spacing w:line="240" w:lineRule="auto"/>
                    <w:ind w:firstLine="0" w:firstLine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11.7</w:t>
                  </w:r>
                </w:p>
              </w:tc>
              <w:tc>
                <w:tcPr>
                  <w:tcW w:w="1671"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0.09338</w:t>
                  </w:r>
                </w:p>
              </w:tc>
              <w:tc>
                <w:tcPr>
                  <w:tcW w:w="1403" w:type="pct"/>
                  <w:vMerge w:val="continue"/>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9" w:hRule="atLeast"/>
                <w:jc w:val="center"/>
              </w:trPr>
              <w:tc>
                <w:tcPr>
                  <w:tcW w:w="982" w:type="dxa"/>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rPr>
                    <w:t>排气筒P</w:t>
                  </w:r>
                  <w:r>
                    <w:rPr>
                      <w:rFonts w:hint="eastAsia" w:ascii="Times New Roman" w:hAnsi="Times New Roman" w:cs="Times New Roman"/>
                      <w:snapToGrid w:val="0"/>
                      <w:color w:val="auto"/>
                      <w:sz w:val="21"/>
                      <w:szCs w:val="21"/>
                      <w:highlight w:val="none"/>
                      <w:lang w:val="en-US" w:eastAsia="zh-CN"/>
                    </w:rPr>
                    <w:t>3</w:t>
                  </w:r>
                </w:p>
              </w:tc>
              <w:tc>
                <w:tcPr>
                  <w:tcW w:w="1623" w:type="dxa"/>
                  <w:vAlign w:val="center"/>
                </w:tcPr>
                <w:p>
                  <w:pPr>
                    <w:widowControl/>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snapToGrid w:val="0"/>
                      <w:color w:val="auto"/>
                      <w:sz w:val="21"/>
                      <w:szCs w:val="21"/>
                      <w:highlight w:val="none"/>
                    </w:rPr>
                    <w:t>颗粒物</w:t>
                  </w:r>
                </w:p>
              </w:tc>
              <w:tc>
                <w:tcPr>
                  <w:tcW w:w="1855" w:type="dxa"/>
                  <w:vAlign w:val="center"/>
                </w:tcPr>
                <w:p>
                  <w:pPr>
                    <w:pStyle w:val="73"/>
                    <w:spacing w:line="240" w:lineRule="auto"/>
                    <w:ind w:firstLine="0" w:firstLine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566.48</w:t>
                  </w:r>
                </w:p>
              </w:tc>
              <w:tc>
                <w:tcPr>
                  <w:tcW w:w="1671"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2.8324</w:t>
                  </w:r>
                </w:p>
              </w:tc>
              <w:tc>
                <w:tcPr>
                  <w:tcW w:w="1403" w:type="pct"/>
                  <w:vMerge w:val="continue"/>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9" w:hRule="atLeast"/>
                <w:jc w:val="center"/>
              </w:trPr>
              <w:tc>
                <w:tcPr>
                  <w:tcW w:w="982" w:type="dxa"/>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rPr>
                    <w:t>排气筒P</w:t>
                  </w:r>
                  <w:r>
                    <w:rPr>
                      <w:rFonts w:hint="eastAsia" w:ascii="Times New Roman" w:hAnsi="Times New Roman" w:cs="Times New Roman"/>
                      <w:snapToGrid w:val="0"/>
                      <w:color w:val="auto"/>
                      <w:sz w:val="21"/>
                      <w:szCs w:val="21"/>
                      <w:highlight w:val="none"/>
                      <w:lang w:val="en-US" w:eastAsia="zh-CN"/>
                    </w:rPr>
                    <w:t>4</w:t>
                  </w:r>
                </w:p>
              </w:tc>
              <w:tc>
                <w:tcPr>
                  <w:tcW w:w="1623" w:type="dxa"/>
                  <w:vAlign w:val="center"/>
                </w:tcPr>
                <w:p>
                  <w:pPr>
                    <w:widowControl/>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snapToGrid w:val="0"/>
                      <w:color w:val="auto"/>
                      <w:sz w:val="21"/>
                      <w:szCs w:val="21"/>
                      <w:highlight w:val="none"/>
                    </w:rPr>
                    <w:t>颗粒物</w:t>
                  </w:r>
                </w:p>
              </w:tc>
              <w:tc>
                <w:tcPr>
                  <w:tcW w:w="1855" w:type="dxa"/>
                  <w:vAlign w:val="center"/>
                </w:tcPr>
                <w:p>
                  <w:pPr>
                    <w:pStyle w:val="73"/>
                    <w:spacing w:line="240" w:lineRule="auto"/>
                    <w:ind w:firstLine="0" w:firstLine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11.7</w:t>
                  </w:r>
                </w:p>
              </w:tc>
              <w:tc>
                <w:tcPr>
                  <w:tcW w:w="1671"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0.09378</w:t>
                  </w:r>
                </w:p>
              </w:tc>
              <w:tc>
                <w:tcPr>
                  <w:tcW w:w="1403" w:type="pct"/>
                  <w:vMerge w:val="continue"/>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39" w:hRule="atLeast"/>
                <w:jc w:val="center"/>
              </w:trPr>
              <w:tc>
                <w:tcPr>
                  <w:tcW w:w="982" w:type="dxa"/>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rPr>
                    <w:t>排气筒P</w:t>
                  </w:r>
                  <w:r>
                    <w:rPr>
                      <w:rFonts w:hint="eastAsia" w:ascii="Times New Roman" w:hAnsi="Times New Roman" w:cs="Times New Roman"/>
                      <w:snapToGrid w:val="0"/>
                      <w:color w:val="auto"/>
                      <w:sz w:val="21"/>
                      <w:szCs w:val="21"/>
                      <w:highlight w:val="none"/>
                      <w:lang w:val="en-US" w:eastAsia="zh-CN"/>
                    </w:rPr>
                    <w:t>5</w:t>
                  </w:r>
                </w:p>
              </w:tc>
              <w:tc>
                <w:tcPr>
                  <w:tcW w:w="1623" w:type="dxa"/>
                  <w:vAlign w:val="center"/>
                </w:tcPr>
                <w:p>
                  <w:pPr>
                    <w:widowControl/>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snapToGrid w:val="0"/>
                      <w:color w:val="auto"/>
                      <w:sz w:val="21"/>
                      <w:szCs w:val="21"/>
                      <w:highlight w:val="none"/>
                    </w:rPr>
                    <w:t>颗粒物</w:t>
                  </w:r>
                </w:p>
              </w:tc>
              <w:tc>
                <w:tcPr>
                  <w:tcW w:w="1855" w:type="dxa"/>
                  <w:vAlign w:val="center"/>
                </w:tcPr>
                <w:p>
                  <w:pPr>
                    <w:pStyle w:val="73"/>
                    <w:spacing w:line="240" w:lineRule="auto"/>
                    <w:ind w:firstLine="0" w:firstLine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566.48</w:t>
                  </w:r>
                </w:p>
              </w:tc>
              <w:tc>
                <w:tcPr>
                  <w:tcW w:w="1671"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2.8324</w:t>
                  </w:r>
                </w:p>
              </w:tc>
              <w:tc>
                <w:tcPr>
                  <w:tcW w:w="1403" w:type="pct"/>
                  <w:vMerge w:val="continue"/>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jc w:val="center"/>
              </w:trPr>
              <w:tc>
                <w:tcPr>
                  <w:tcW w:w="982" w:type="dxa"/>
                  <w:vMerge w:val="restart"/>
                  <w:vAlign w:val="center"/>
                </w:tcPr>
                <w:p>
                  <w:pPr>
                    <w:widowControl/>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snapToGrid w:val="0"/>
                      <w:color w:val="auto"/>
                      <w:sz w:val="21"/>
                      <w:szCs w:val="21"/>
                      <w:highlight w:val="none"/>
                    </w:rPr>
                    <w:t>排气筒P</w:t>
                  </w:r>
                  <w:r>
                    <w:rPr>
                      <w:rFonts w:hint="eastAsia" w:cs="Times New Roman"/>
                      <w:snapToGrid w:val="0"/>
                      <w:color w:val="auto"/>
                      <w:sz w:val="21"/>
                      <w:szCs w:val="21"/>
                      <w:highlight w:val="none"/>
                      <w:lang w:val="en-US" w:eastAsia="zh-CN"/>
                    </w:rPr>
                    <w:t>6</w:t>
                  </w:r>
                </w:p>
              </w:tc>
              <w:tc>
                <w:tcPr>
                  <w:tcW w:w="952" w:type="pct"/>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TRVOC</w:t>
                  </w:r>
                </w:p>
              </w:tc>
              <w:tc>
                <w:tcPr>
                  <w:tcW w:w="1855"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163.4</w:t>
                  </w:r>
                </w:p>
              </w:tc>
              <w:tc>
                <w:tcPr>
                  <w:tcW w:w="1671" w:type="dxa"/>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5.23</w:t>
                  </w:r>
                </w:p>
              </w:tc>
              <w:tc>
                <w:tcPr>
                  <w:tcW w:w="1403" w:type="pct"/>
                  <w:vMerge w:val="continue"/>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7" w:hRule="atLeast"/>
                <w:jc w:val="center"/>
              </w:trPr>
              <w:tc>
                <w:tcPr>
                  <w:tcW w:w="576" w:type="pct"/>
                  <w:vMerge w:val="continue"/>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p>
              </w:tc>
              <w:tc>
                <w:tcPr>
                  <w:tcW w:w="952" w:type="pct"/>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1855"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163.4</w:t>
                  </w:r>
                </w:p>
              </w:tc>
              <w:tc>
                <w:tcPr>
                  <w:tcW w:w="1671" w:type="dxa"/>
                  <w:vAlign w:val="center"/>
                </w:tcPr>
                <w:p>
                  <w:pPr>
                    <w:spacing w:line="240" w:lineRule="auto"/>
                    <w:ind w:firstLine="0" w:firstLineChars="0"/>
                    <w:jc w:val="center"/>
                    <w:rPr>
                      <w:rFonts w:hint="default" w:ascii="Times New Roman" w:hAnsi="Times New Roman" w:cs="Times New Roman"/>
                      <w:color w:val="auto"/>
                      <w:sz w:val="21"/>
                      <w:szCs w:val="21"/>
                      <w:highlight w:val="none"/>
                    </w:rPr>
                  </w:pPr>
                  <w:r>
                    <w:rPr>
                      <w:rFonts w:hint="eastAsia" w:cs="Times New Roman" w:eastAsiaTheme="minorEastAsia"/>
                      <w:bCs/>
                      <w:color w:val="auto"/>
                      <w:sz w:val="21"/>
                      <w:szCs w:val="21"/>
                      <w:highlight w:val="none"/>
                      <w:lang w:val="en-US" w:eastAsia="zh-CN"/>
                    </w:rPr>
                    <w:t>5.23</w:t>
                  </w:r>
                </w:p>
              </w:tc>
              <w:tc>
                <w:tcPr>
                  <w:tcW w:w="1403" w:type="pct"/>
                  <w:vMerge w:val="continue"/>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7" w:hRule="atLeast"/>
                <w:jc w:val="center"/>
              </w:trPr>
              <w:tc>
                <w:tcPr>
                  <w:tcW w:w="576" w:type="pct"/>
                  <w:vMerge w:val="continue"/>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p>
              </w:tc>
              <w:tc>
                <w:tcPr>
                  <w:tcW w:w="952" w:type="pct"/>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二甲苯</w:t>
                  </w:r>
                </w:p>
              </w:tc>
              <w:tc>
                <w:tcPr>
                  <w:tcW w:w="1855"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85.4</w:t>
                  </w:r>
                </w:p>
              </w:tc>
              <w:tc>
                <w:tcPr>
                  <w:tcW w:w="1671" w:type="dxa"/>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2.733</w:t>
                  </w:r>
                </w:p>
              </w:tc>
              <w:tc>
                <w:tcPr>
                  <w:tcW w:w="1403" w:type="pct"/>
                  <w:vMerge w:val="continue"/>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76" w:type="pct"/>
                  <w:vMerge w:val="continue"/>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p>
              </w:tc>
              <w:tc>
                <w:tcPr>
                  <w:tcW w:w="952" w:type="pct"/>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乙苯</w:t>
                  </w:r>
                </w:p>
              </w:tc>
              <w:tc>
                <w:tcPr>
                  <w:tcW w:w="1865" w:type="dxa"/>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1671" w:type="dxa"/>
                  <w:vAlign w:val="center"/>
                </w:tcPr>
                <w:p>
                  <w:pPr>
                    <w:jc w:val="center"/>
                    <w:rPr>
                      <w:rFonts w:hint="default" w:ascii="Times New Roman" w:hAnsi="Times New Roman" w:cs="Times New Roman" w:eastAsiaTheme="minorEastAsia"/>
                      <w:color w:val="auto"/>
                      <w:sz w:val="21"/>
                      <w:szCs w:val="21"/>
                      <w:highlight w:val="none"/>
                    </w:rPr>
                  </w:pPr>
                  <w:r>
                    <w:rPr>
                      <w:rFonts w:hint="eastAsia" w:cs="Times New Roman"/>
                      <w:color w:val="auto"/>
                      <w:sz w:val="21"/>
                      <w:szCs w:val="21"/>
                      <w:highlight w:val="none"/>
                      <w:lang w:val="en-US" w:eastAsia="zh-CN"/>
                    </w:rPr>
                    <w:t>0.589</w:t>
                  </w:r>
                </w:p>
              </w:tc>
              <w:tc>
                <w:tcPr>
                  <w:tcW w:w="1403" w:type="pct"/>
                  <w:vMerge w:val="continue"/>
                  <w:vAlign w:val="center"/>
                </w:tcPr>
                <w:p>
                  <w:pPr>
                    <w:pStyle w:val="82"/>
                    <w:kinsoku w:val="0"/>
                    <w:overflowPunct w:val="0"/>
                    <w:spacing w:before="0"/>
                    <w:rPr>
                      <w:rFonts w:hint="default" w:ascii="Times New Roman" w:hAnsi="Times New Roman" w:cs="Times New Roman"/>
                      <w:color w:val="auto"/>
                      <w:sz w:val="21"/>
                      <w:szCs w:val="21"/>
                      <w:highlight w:val="none"/>
                      <w:lang w:eastAsia="zh-CN"/>
                    </w:rPr>
                  </w:pPr>
                </w:p>
              </w:tc>
            </w:tr>
          </w:tbl>
          <w:p>
            <w:pPr>
              <w:spacing w:line="360" w:lineRule="auto"/>
              <w:ind w:firstLine="480" w:firstLineChars="200"/>
              <w:rPr>
                <w:rFonts w:hint="default" w:ascii="Times New Roman" w:hAnsi="Times New Roman" w:cs="Times New Roman"/>
                <w:snapToGrid w:val="0"/>
                <w:color w:val="auto"/>
                <w:szCs w:val="24"/>
                <w:highlight w:val="none"/>
              </w:rPr>
            </w:pPr>
            <w:r>
              <w:rPr>
                <w:rFonts w:hint="default" w:ascii="Times New Roman" w:hAnsi="Times New Roman" w:cs="Times New Roman"/>
                <w:snapToGrid w:val="0"/>
                <w:color w:val="auto"/>
                <w:szCs w:val="24"/>
                <w:highlight w:val="none"/>
              </w:rPr>
              <w:t>（2）非正常工况的控制措施</w:t>
            </w:r>
          </w:p>
          <w:p>
            <w:pPr>
              <w:pStyle w:val="73"/>
              <w:ind w:firstLine="480"/>
              <w:rPr>
                <w:rFonts w:hint="default" w:ascii="Times New Roman" w:hAnsi="Times New Roman" w:cs="Times New Roman"/>
                <w:snapToGrid w:val="0"/>
                <w:color w:val="auto"/>
                <w:szCs w:val="24"/>
                <w:highlight w:val="none"/>
              </w:rPr>
            </w:pPr>
            <w:r>
              <w:rPr>
                <w:rFonts w:hint="default" w:ascii="Times New Roman" w:hAnsi="Times New Roman" w:cs="Times New Roman"/>
                <w:snapToGrid w:val="0"/>
                <w:color w:val="auto"/>
                <w:szCs w:val="24"/>
                <w:highlight w:val="none"/>
              </w:rPr>
              <w:t>建设单位应加强日常的环保管理，密切关注废气处理装置的运行情况。在项目运营期间，建设单位应定期检测废气净化设备的净化效率，确保环保设施的正常高效运行，将废气对大气环境的影响降到最低。建设单位应在每日开工前先行运行废气处理装置和风机，在检查并确保其能够正常运行的前提下再运行生产设备，最大程度地避免在废气处理装置失效情况下废气的非正常工况排放。另外，加强对环保设备的日常保养和维护，委派专人负责环保设备的日常维护，确保环保设备的正常运行，一旦废气处理装置出现故障，应立即停止生产线的生产，待检修后，重新开启。</w:t>
            </w:r>
          </w:p>
          <w:p>
            <w:pPr>
              <w:pStyle w:val="73"/>
              <w:ind w:firstLine="482"/>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4.大气监测计划</w:t>
            </w:r>
          </w:p>
          <w:p>
            <w:pPr>
              <w:pStyle w:val="95"/>
              <w:adjustRightInd w:val="0"/>
              <w:snapToGrid w:val="0"/>
              <w:ind w:firstLine="480"/>
              <w:rPr>
                <w:rFonts w:hint="default" w:ascii="Times New Roman" w:hAnsi="Times New Roman" w:cs="Times New Roman"/>
                <w:b/>
                <w:color w:val="auto"/>
                <w:kern w:val="2"/>
                <w:sz w:val="21"/>
                <w:szCs w:val="21"/>
                <w:highlight w:val="none"/>
              </w:rPr>
            </w:pPr>
            <w:r>
              <w:rPr>
                <w:rFonts w:hint="default" w:ascii="Times New Roman" w:hAnsi="Times New Roman" w:cs="Times New Roman"/>
                <w:color w:val="auto"/>
                <w:highlight w:val="none"/>
                <w:lang w:val="zh-CN"/>
              </w:rPr>
              <w:t>根据《排污单位自行监测技术指南 涂装》（HJ1086-2020）</w:t>
            </w:r>
            <w:r>
              <w:rPr>
                <w:rFonts w:hint="default" w:ascii="Times New Roman" w:hAnsi="Times New Roman" w:cs="Times New Roman"/>
                <w:color w:val="auto"/>
                <w:highlight w:val="none"/>
              </w:rPr>
              <w:t>要求，执行定期监测，废气监测要求见下表。</w:t>
            </w:r>
          </w:p>
          <w:p>
            <w:pPr>
              <w:autoSpaceDE w:val="0"/>
              <w:autoSpaceDN w:val="0"/>
              <w:jc w:val="center"/>
              <w:textAlignment w:val="bottom"/>
              <w:rPr>
                <w:rFonts w:hint="default" w:ascii="Times New Roman" w:hAnsi="Times New Roman" w:cs="Times New Roman"/>
                <w:b/>
                <w:color w:val="auto"/>
                <w:kern w:val="2"/>
                <w:sz w:val="21"/>
                <w:szCs w:val="21"/>
                <w:highlight w:val="none"/>
              </w:rPr>
            </w:pPr>
            <w:r>
              <w:rPr>
                <w:rFonts w:hint="default" w:ascii="Times New Roman" w:hAnsi="Times New Roman" w:cs="Times New Roman"/>
                <w:b/>
                <w:color w:val="auto"/>
                <w:kern w:val="2"/>
                <w:sz w:val="21"/>
                <w:szCs w:val="21"/>
                <w:highlight w:val="none"/>
              </w:rPr>
              <w:t>表4-1</w:t>
            </w:r>
            <w:r>
              <w:rPr>
                <w:rFonts w:hint="eastAsia" w:cs="Times New Roman"/>
                <w:b/>
                <w:color w:val="auto"/>
                <w:kern w:val="2"/>
                <w:sz w:val="21"/>
                <w:szCs w:val="21"/>
                <w:highlight w:val="none"/>
                <w:lang w:val="en-US" w:eastAsia="zh-CN"/>
              </w:rPr>
              <w:t>8</w:t>
            </w:r>
            <w:r>
              <w:rPr>
                <w:rFonts w:hint="default" w:ascii="Times New Roman" w:hAnsi="Times New Roman" w:cs="Times New Roman"/>
                <w:b/>
                <w:color w:val="auto"/>
                <w:kern w:val="2"/>
                <w:sz w:val="21"/>
                <w:szCs w:val="21"/>
                <w:highlight w:val="none"/>
              </w:rPr>
              <w:t xml:space="preserve"> 本项目废气监测要求</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2133"/>
              <w:gridCol w:w="1377"/>
              <w:gridCol w:w="4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jc w:val="center"/>
              </w:trPr>
              <w:tc>
                <w:tcPr>
                  <w:tcW w:w="698" w:type="pc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1174" w:type="pc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xml:space="preserve">监测指标 </w:t>
                  </w:r>
                </w:p>
              </w:tc>
              <w:tc>
                <w:tcPr>
                  <w:tcW w:w="758" w:type="pc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监测频次</w:t>
                  </w:r>
                </w:p>
              </w:tc>
              <w:tc>
                <w:tcPr>
                  <w:tcW w:w="2369" w:type="pc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8" w:type="pct"/>
                  <w:tcMar>
                    <w:left w:w="0" w:type="dxa"/>
                    <w:right w:w="0" w:type="dxa"/>
                  </w:tcMar>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rPr>
                    <w:t>排气筒P1</w:t>
                  </w:r>
                </w:p>
              </w:tc>
              <w:tc>
                <w:tcPr>
                  <w:tcW w:w="1174" w:type="pc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758" w:type="pct"/>
                  <w:vMerge w:val="restar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一年一次</w:t>
                  </w:r>
                </w:p>
              </w:tc>
              <w:tc>
                <w:tcPr>
                  <w:tcW w:w="2369" w:type="pct"/>
                  <w:vMerge w:val="restar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8" w:type="pct"/>
                  <w:tcMar>
                    <w:left w:w="0" w:type="dxa"/>
                    <w:right w:w="0" w:type="dxa"/>
                  </w:tcMar>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rPr>
                    <w:t>排气筒P</w:t>
                  </w:r>
                  <w:r>
                    <w:rPr>
                      <w:rFonts w:hint="eastAsia" w:ascii="Times New Roman" w:hAnsi="Times New Roman" w:cs="Times New Roman"/>
                      <w:snapToGrid w:val="0"/>
                      <w:color w:val="auto"/>
                      <w:sz w:val="21"/>
                      <w:szCs w:val="21"/>
                      <w:highlight w:val="none"/>
                      <w:lang w:val="en-US" w:eastAsia="zh-CN"/>
                    </w:rPr>
                    <w:t>2</w:t>
                  </w:r>
                </w:p>
              </w:tc>
              <w:tc>
                <w:tcPr>
                  <w:tcW w:w="1174" w:type="pc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758"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2369"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8" w:type="pct"/>
                  <w:tcMar>
                    <w:left w:w="0" w:type="dxa"/>
                    <w:right w:w="0" w:type="dxa"/>
                  </w:tcMar>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rPr>
                    <w:t>排气筒P</w:t>
                  </w:r>
                  <w:r>
                    <w:rPr>
                      <w:rFonts w:hint="eastAsia" w:ascii="Times New Roman" w:hAnsi="Times New Roman" w:cs="Times New Roman"/>
                      <w:snapToGrid w:val="0"/>
                      <w:color w:val="auto"/>
                      <w:sz w:val="21"/>
                      <w:szCs w:val="21"/>
                      <w:highlight w:val="none"/>
                      <w:lang w:val="en-US" w:eastAsia="zh-CN"/>
                    </w:rPr>
                    <w:t>3</w:t>
                  </w:r>
                </w:p>
              </w:tc>
              <w:tc>
                <w:tcPr>
                  <w:tcW w:w="1174" w:type="pc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758"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2369"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8" w:type="pct"/>
                  <w:tcMar>
                    <w:left w:w="0" w:type="dxa"/>
                    <w:right w:w="0" w:type="dxa"/>
                  </w:tcMar>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rPr>
                    <w:t>排气筒P</w:t>
                  </w:r>
                  <w:r>
                    <w:rPr>
                      <w:rFonts w:hint="eastAsia" w:ascii="Times New Roman" w:hAnsi="Times New Roman" w:cs="Times New Roman"/>
                      <w:snapToGrid w:val="0"/>
                      <w:color w:val="auto"/>
                      <w:sz w:val="21"/>
                      <w:szCs w:val="21"/>
                      <w:highlight w:val="none"/>
                      <w:lang w:val="en-US" w:eastAsia="zh-CN"/>
                    </w:rPr>
                    <w:t>4</w:t>
                  </w:r>
                </w:p>
              </w:tc>
              <w:tc>
                <w:tcPr>
                  <w:tcW w:w="1174" w:type="pc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758"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2369"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8" w:type="pct"/>
                  <w:tcMar>
                    <w:left w:w="0" w:type="dxa"/>
                    <w:right w:w="0" w:type="dxa"/>
                  </w:tcMar>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rPr>
                    <w:t>排气筒P</w:t>
                  </w:r>
                  <w:r>
                    <w:rPr>
                      <w:rFonts w:hint="eastAsia" w:ascii="Times New Roman" w:hAnsi="Times New Roman" w:cs="Times New Roman"/>
                      <w:snapToGrid w:val="0"/>
                      <w:color w:val="auto"/>
                      <w:sz w:val="21"/>
                      <w:szCs w:val="21"/>
                      <w:highlight w:val="none"/>
                      <w:lang w:val="en-US" w:eastAsia="zh-CN"/>
                    </w:rPr>
                    <w:t>5</w:t>
                  </w:r>
                </w:p>
              </w:tc>
              <w:tc>
                <w:tcPr>
                  <w:tcW w:w="1174" w:type="pc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758"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2369"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8" w:type="pct"/>
                  <w:vMerge w:val="restart"/>
                  <w:tcMar>
                    <w:left w:w="0" w:type="dxa"/>
                    <w:right w:w="0" w:type="dxa"/>
                  </w:tcMar>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snapToGrid w:val="0"/>
                      <w:color w:val="auto"/>
                      <w:sz w:val="21"/>
                      <w:szCs w:val="21"/>
                      <w:highlight w:val="none"/>
                    </w:rPr>
                    <w:t>排气筒P</w:t>
                  </w:r>
                  <w:r>
                    <w:rPr>
                      <w:rFonts w:hint="eastAsia" w:cs="Times New Roman"/>
                      <w:snapToGrid w:val="0"/>
                      <w:color w:val="auto"/>
                      <w:sz w:val="21"/>
                      <w:szCs w:val="21"/>
                      <w:highlight w:val="none"/>
                      <w:lang w:val="en-US" w:eastAsia="zh-CN"/>
                    </w:rPr>
                    <w:t>6</w:t>
                  </w:r>
                </w:p>
              </w:tc>
              <w:tc>
                <w:tcPr>
                  <w:tcW w:w="1174" w:type="pct"/>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TRVOC</w:t>
                  </w:r>
                </w:p>
              </w:tc>
              <w:tc>
                <w:tcPr>
                  <w:tcW w:w="758"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2369" w:type="pct"/>
                  <w:vMerge w:val="restar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《工业企业挥发性有机物排放控制标准》（DB12/524-2020）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8" w:type="pct"/>
                  <w:vMerge w:val="continue"/>
                  <w:tcMar>
                    <w:left w:w="0" w:type="dxa"/>
                    <w:right w:w="0" w:type="dxa"/>
                  </w:tcMar>
                  <w:vAlign w:val="center"/>
                </w:tcPr>
                <w:p>
                  <w:pPr>
                    <w:spacing w:before="100" w:beforeAutospacing="1" w:after="100" w:afterAutospacing="1"/>
                    <w:jc w:val="center"/>
                    <w:rPr>
                      <w:rFonts w:hint="default" w:ascii="Times New Roman" w:hAnsi="Times New Roman" w:cs="Times New Roman"/>
                      <w:color w:val="auto"/>
                      <w:sz w:val="21"/>
                      <w:szCs w:val="21"/>
                      <w:highlight w:val="none"/>
                    </w:rPr>
                  </w:pPr>
                </w:p>
              </w:tc>
              <w:tc>
                <w:tcPr>
                  <w:tcW w:w="1174" w:type="pct"/>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tc>
              <w:tc>
                <w:tcPr>
                  <w:tcW w:w="758"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2369"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8" w:type="pct"/>
                  <w:vMerge w:val="continue"/>
                  <w:tcMar>
                    <w:left w:w="0" w:type="dxa"/>
                    <w:right w:w="0" w:type="dxa"/>
                  </w:tcMar>
                  <w:vAlign w:val="center"/>
                </w:tcPr>
                <w:p>
                  <w:pPr>
                    <w:spacing w:before="100" w:beforeAutospacing="1" w:after="100" w:afterAutospacing="1"/>
                    <w:jc w:val="center"/>
                    <w:rPr>
                      <w:rFonts w:hint="default" w:ascii="Times New Roman" w:hAnsi="Times New Roman" w:cs="Times New Roman"/>
                      <w:color w:val="auto"/>
                      <w:sz w:val="21"/>
                      <w:szCs w:val="21"/>
                      <w:highlight w:val="none"/>
                    </w:rPr>
                  </w:pPr>
                </w:p>
              </w:tc>
              <w:tc>
                <w:tcPr>
                  <w:tcW w:w="1174" w:type="pct"/>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二甲苯</w:t>
                  </w:r>
                </w:p>
              </w:tc>
              <w:tc>
                <w:tcPr>
                  <w:tcW w:w="758"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2369"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8" w:type="pct"/>
                  <w:vMerge w:val="continue"/>
                  <w:tcMar>
                    <w:left w:w="0" w:type="dxa"/>
                    <w:right w:w="0" w:type="dxa"/>
                  </w:tcMar>
                  <w:vAlign w:val="center"/>
                </w:tcPr>
                <w:p>
                  <w:pPr>
                    <w:spacing w:before="100" w:beforeAutospacing="1" w:after="100" w:afterAutospacing="1"/>
                    <w:jc w:val="center"/>
                    <w:rPr>
                      <w:rFonts w:hint="default" w:ascii="Times New Roman" w:hAnsi="Times New Roman" w:cs="Times New Roman"/>
                      <w:color w:val="auto"/>
                      <w:sz w:val="21"/>
                      <w:szCs w:val="21"/>
                      <w:highlight w:val="none"/>
                    </w:rPr>
                  </w:pPr>
                </w:p>
              </w:tc>
              <w:tc>
                <w:tcPr>
                  <w:tcW w:w="1174" w:type="pct"/>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臭气浓度</w:t>
                  </w:r>
                </w:p>
              </w:tc>
              <w:tc>
                <w:tcPr>
                  <w:tcW w:w="758"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2369" w:type="pct"/>
                  <w:vMerge w:val="restar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《恶臭污染物排放标准》</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（DB12/-059-2018）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8" w:type="pct"/>
                  <w:vMerge w:val="continue"/>
                  <w:tcMar>
                    <w:left w:w="0" w:type="dxa"/>
                    <w:right w:w="0" w:type="dxa"/>
                  </w:tcMar>
                  <w:vAlign w:val="center"/>
                </w:tcPr>
                <w:p>
                  <w:pPr>
                    <w:spacing w:before="100" w:beforeAutospacing="1" w:after="100" w:afterAutospacing="1"/>
                    <w:jc w:val="center"/>
                    <w:rPr>
                      <w:rFonts w:hint="default" w:ascii="Times New Roman" w:hAnsi="Times New Roman" w:cs="Times New Roman"/>
                      <w:color w:val="auto"/>
                      <w:sz w:val="21"/>
                      <w:szCs w:val="21"/>
                      <w:highlight w:val="none"/>
                    </w:rPr>
                  </w:pPr>
                </w:p>
              </w:tc>
              <w:tc>
                <w:tcPr>
                  <w:tcW w:w="1174" w:type="pct"/>
                  <w:tcMar>
                    <w:left w:w="0" w:type="dxa"/>
                    <w:right w:w="0" w:type="dxa"/>
                  </w:tcMar>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乙苯</w:t>
                  </w:r>
                </w:p>
              </w:tc>
              <w:tc>
                <w:tcPr>
                  <w:tcW w:w="758"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2369"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8" w:type="pct"/>
                  <w:vMerge w:val="restart"/>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w:t>
                  </w:r>
                </w:p>
              </w:tc>
              <w:tc>
                <w:tcPr>
                  <w:tcW w:w="1174" w:type="pct"/>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758" w:type="pct"/>
                  <w:vMerge w:val="restart"/>
                  <w:tcMar>
                    <w:left w:w="0" w:type="dxa"/>
                    <w:right w:w="0" w:type="dxa"/>
                  </w:tcMar>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半年一次</w:t>
                  </w:r>
                </w:p>
              </w:tc>
              <w:tc>
                <w:tcPr>
                  <w:tcW w:w="2369" w:type="pct"/>
                  <w:vMerge w:val="restar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8" w:type="pct"/>
                  <w:vMerge w:val="continue"/>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p>
              </w:tc>
              <w:tc>
                <w:tcPr>
                  <w:tcW w:w="1174" w:type="pct"/>
                  <w:tcMar>
                    <w:left w:w="0" w:type="dxa"/>
                    <w:right w:w="0" w:type="dxa"/>
                  </w:tcMar>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758"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2369"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8" w:type="pct"/>
                  <w:vMerge w:val="continue"/>
                  <w:tcMar>
                    <w:left w:w="0" w:type="dxa"/>
                    <w:right w:w="0" w:type="dxa"/>
                  </w:tcMar>
                  <w:vAlign w:val="center"/>
                </w:tcPr>
                <w:p>
                  <w:pPr>
                    <w:pStyle w:val="73"/>
                    <w:spacing w:line="240" w:lineRule="auto"/>
                    <w:ind w:firstLine="0" w:firstLineChars="0"/>
                    <w:jc w:val="center"/>
                    <w:rPr>
                      <w:rFonts w:hint="default" w:ascii="Times New Roman" w:hAnsi="Times New Roman" w:cs="Times New Roman"/>
                      <w:color w:val="auto"/>
                      <w:sz w:val="21"/>
                      <w:szCs w:val="21"/>
                      <w:highlight w:val="none"/>
                    </w:rPr>
                  </w:pPr>
                </w:p>
              </w:tc>
              <w:tc>
                <w:tcPr>
                  <w:tcW w:w="1174" w:type="pct"/>
                  <w:tcMar>
                    <w:left w:w="0" w:type="dxa"/>
                    <w:right w:w="0" w:type="dxa"/>
                  </w:tcMar>
                  <w:vAlign w:val="center"/>
                </w:tcPr>
                <w:p>
                  <w:pPr>
                    <w:pStyle w:val="73"/>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二甲苯</w:t>
                  </w:r>
                </w:p>
              </w:tc>
              <w:tc>
                <w:tcPr>
                  <w:tcW w:w="758"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2369"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98" w:type="pct"/>
                  <w:tcMar>
                    <w:left w:w="0" w:type="dxa"/>
                    <w:right w:w="0" w:type="dxa"/>
                  </w:tcMar>
                  <w:vAlign w:val="center"/>
                </w:tcPr>
                <w:p>
                  <w:pPr>
                    <w:pStyle w:val="73"/>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厂房外监控点</w:t>
                  </w:r>
                </w:p>
              </w:tc>
              <w:tc>
                <w:tcPr>
                  <w:tcW w:w="1174" w:type="pct"/>
                  <w:tcMar>
                    <w:left w:w="0" w:type="dxa"/>
                    <w:right w:w="0" w:type="dxa"/>
                  </w:tcMar>
                  <w:vAlign w:val="center"/>
                </w:tcPr>
                <w:p>
                  <w:pPr>
                    <w:pStyle w:val="73"/>
                    <w:spacing w:line="240" w:lineRule="auto"/>
                    <w:ind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758" w:type="pct"/>
                  <w:vMerge w:val="continue"/>
                  <w:tcMar>
                    <w:left w:w="0" w:type="dxa"/>
                    <w:right w:w="0" w:type="dxa"/>
                  </w:tcMar>
                  <w:vAlign w:val="center"/>
                </w:tcPr>
                <w:p>
                  <w:pPr>
                    <w:jc w:val="center"/>
                    <w:rPr>
                      <w:rFonts w:hint="default" w:ascii="Times New Roman" w:hAnsi="Times New Roman" w:cs="Times New Roman"/>
                      <w:color w:val="auto"/>
                      <w:sz w:val="21"/>
                      <w:szCs w:val="21"/>
                      <w:highlight w:val="none"/>
                    </w:rPr>
                  </w:pPr>
                </w:p>
              </w:tc>
              <w:tc>
                <w:tcPr>
                  <w:tcW w:w="2369" w:type="pct"/>
                  <w:tcMar>
                    <w:left w:w="0" w:type="dxa"/>
                    <w:right w:w="0" w:type="dxa"/>
                  </w:tcMar>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《工业企业挥发性有机物排放控制标准》（DB12/524-2020）</w:t>
                  </w:r>
                </w:p>
              </w:tc>
            </w:tr>
          </w:tbl>
          <w:p>
            <w:pPr>
              <w:pStyle w:val="73"/>
              <w:ind w:firstLine="482"/>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5</w:t>
            </w:r>
            <w:r>
              <w:rPr>
                <w:rFonts w:hint="eastAsia" w:cs="Times New Roman"/>
                <w:b w:val="0"/>
                <w:bCs w:val="0"/>
                <w:color w:val="auto"/>
                <w:highlight w:val="none"/>
                <w:lang w:eastAsia="zh-CN"/>
              </w:rPr>
              <w:t>.</w:t>
            </w:r>
            <w:r>
              <w:rPr>
                <w:rFonts w:hint="default" w:ascii="Times New Roman" w:hAnsi="Times New Roman" w:cs="Times New Roman"/>
                <w:b w:val="0"/>
                <w:bCs w:val="0"/>
                <w:color w:val="auto"/>
                <w:highlight w:val="none"/>
              </w:rPr>
              <w:t>结论</w:t>
            </w:r>
          </w:p>
          <w:p>
            <w:pPr>
              <w:pStyle w:val="16"/>
              <w:ind w:firstLine="480" w:firstLineChars="200"/>
              <w:rPr>
                <w:rFonts w:hint="default" w:ascii="Times New Roman" w:hAnsi="Times New Roman" w:cs="Times New Roman"/>
                <w:b/>
                <w:color w:val="auto"/>
                <w:highlight w:val="none"/>
              </w:rPr>
            </w:pPr>
            <w:r>
              <w:rPr>
                <w:rFonts w:hint="default" w:ascii="Times New Roman" w:hAnsi="Times New Roman" w:cs="Times New Roman"/>
                <w:color w:val="auto"/>
                <w:szCs w:val="22"/>
                <w:highlight w:val="none"/>
              </w:rPr>
              <w:t>本项目所在区域环境质量现状六项污染物未全部达标，通过相关政策方案的实施，加快大气污染治理，预计区域空气质量将逐年好转。根据工程分析可知，本项目废气污染物各排放源均采取相应可行技术进行治理，净化后可满足达标排放要求</w:t>
            </w:r>
            <w:r>
              <w:rPr>
                <w:rFonts w:hint="eastAsia" w:cs="Times New Roman"/>
                <w:color w:val="auto"/>
                <w:szCs w:val="22"/>
                <w:highlight w:val="none"/>
                <w:lang w:eastAsia="zh-CN"/>
              </w:rPr>
              <w:t>，</w:t>
            </w:r>
            <w:r>
              <w:rPr>
                <w:rFonts w:hint="eastAsia" w:cs="Times New Roman"/>
                <w:color w:val="auto"/>
                <w:highlight w:val="none"/>
                <w:lang w:val="en-US" w:eastAsia="zh-CN"/>
              </w:rPr>
              <w:t>本项目不会对大气环境敏感目标产生不利影响</w:t>
            </w:r>
            <w:r>
              <w:rPr>
                <w:rFonts w:hint="default" w:ascii="Times New Roman" w:hAnsi="Times New Roman" w:cs="Times New Roman"/>
                <w:color w:val="auto"/>
                <w:szCs w:val="22"/>
                <w:highlight w:val="none"/>
              </w:rPr>
              <w:t>。综上，本项目大气环境影响可接受。</w:t>
            </w:r>
          </w:p>
          <w:p>
            <w:pPr>
              <w:spacing w:line="360" w:lineRule="auto"/>
              <w:rPr>
                <w:rFonts w:hint="default" w:ascii="Times New Roman" w:hAnsi="Times New Roman" w:cs="Times New Roman"/>
                <w:b/>
                <w:color w:val="auto"/>
                <w:highlight w:val="none"/>
              </w:rPr>
            </w:pPr>
            <w:r>
              <w:rPr>
                <w:rFonts w:hint="default" w:ascii="Times New Roman" w:hAnsi="Times New Roman" w:cs="Times New Roman"/>
                <w:b/>
                <w:color w:val="auto"/>
                <w:highlight w:val="none"/>
              </w:rPr>
              <w:t>二．水环境影响分析</w:t>
            </w:r>
          </w:p>
          <w:p>
            <w:pPr>
              <w:pStyle w:val="73"/>
              <w:tabs>
                <w:tab w:val="left" w:pos="3337"/>
              </w:tabs>
              <w:ind w:firstLine="482"/>
              <w:rPr>
                <w:rFonts w:hint="eastAsia" w:ascii="Times New Roman" w:hAnsi="Times New Roman" w:eastAsia="宋体" w:cs="Times New Roman"/>
                <w:b/>
                <w:bCs/>
                <w:color w:val="auto"/>
                <w:highlight w:val="none"/>
                <w:lang w:eastAsia="zh-CN"/>
              </w:rPr>
            </w:pPr>
            <w:r>
              <w:rPr>
                <w:rFonts w:hint="default" w:ascii="Times New Roman" w:hAnsi="Times New Roman" w:cs="Times New Roman"/>
                <w:b/>
                <w:bCs/>
                <w:color w:val="auto"/>
                <w:highlight w:val="none"/>
              </w:rPr>
              <w:t>1.废水产排情况</w:t>
            </w:r>
            <w:r>
              <w:rPr>
                <w:rFonts w:hint="eastAsia" w:cs="Times New Roman"/>
                <w:b/>
                <w:bCs/>
                <w:color w:val="auto"/>
                <w:highlight w:val="none"/>
                <w:lang w:eastAsia="zh-CN"/>
              </w:rPr>
              <w:tab/>
            </w:r>
          </w:p>
          <w:p>
            <w:pPr>
              <w:wordWrap w:val="0"/>
              <w:topLinePunct/>
              <w:spacing w:line="360" w:lineRule="auto"/>
              <w:ind w:firstLine="480" w:firstLineChars="200"/>
              <w:rPr>
                <w:rFonts w:hint="default" w:ascii="Times New Roman" w:hAnsi="Times New Roman" w:cs="Times New Roman"/>
                <w:b/>
                <w:bCs/>
                <w:color w:val="auto"/>
                <w:highlight w:val="none"/>
              </w:rPr>
            </w:pPr>
            <w:r>
              <w:rPr>
                <w:rFonts w:hint="default" w:ascii="Times New Roman" w:hAnsi="Times New Roman" w:cs="Times New Roman"/>
                <w:color w:val="auto"/>
                <w:highlight w:val="none"/>
              </w:rPr>
              <w:t>厂区排水均采用雨、污分流制。本项目切削液循环使用，定期补充不外排，根据建设单位提供资料，切削液损耗率按50%计算，废切削液产生量为</w:t>
            </w:r>
            <w:r>
              <w:rPr>
                <w:rFonts w:hint="eastAsia" w:cs="Times New Roman"/>
                <w:color w:val="auto"/>
                <w:highlight w:val="none"/>
                <w:lang w:val="en-US" w:eastAsia="zh-CN"/>
              </w:rPr>
              <w:t>3.15</w:t>
            </w:r>
            <w:r>
              <w:rPr>
                <w:rFonts w:hint="default" w:ascii="Times New Roman" w:hAnsi="Times New Roman" w:cs="Times New Roman"/>
                <w:color w:val="auto"/>
                <w:highlight w:val="none"/>
              </w:rPr>
              <w:t>t，定期委托具有相应处理资质单位处理。伸缩式喷漆房水帘用水循环使用，定期收集，作为危险废物委托有资质单位进行处理，无生产废水排放。水性漆喷枪采用少量水浸润清洗，洗枪废液与水性漆混合调漆重新进行喷漆作业，不会产生洗枪废水。本项目车间地面清洁方式为干式清扫，不涉及车间地面清洗用水，不涉及车间地面清洗废水。本项目不涉及设备清洗，不涉及设备清洗废水。 本项目在运营过程中产生的废水为生活污水，外排的污水通过污水管网排入大港石化产业园区污水处理厂进行处理。</w:t>
            </w:r>
          </w:p>
          <w:p>
            <w:pPr>
              <w:pStyle w:val="73"/>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2.废水达标分析</w:t>
            </w:r>
          </w:p>
          <w:p>
            <w:pPr>
              <w:spacing w:line="360" w:lineRule="auto"/>
              <w:ind w:firstLine="480" w:firstLineChars="200"/>
              <w:jc w:val="left"/>
              <w:rPr>
                <w:rFonts w:hint="default" w:ascii="Times New Roman" w:hAnsi="Times New Roman" w:cs="Times New Roman"/>
                <w:b/>
                <w:bCs/>
                <w:color w:val="auto"/>
                <w:sz w:val="21"/>
                <w:szCs w:val="21"/>
                <w:highlight w:val="none"/>
              </w:rPr>
            </w:pPr>
            <w:r>
              <w:rPr>
                <w:rFonts w:hint="default" w:ascii="Times New Roman" w:hAnsi="Times New Roman" w:cs="Times New Roman"/>
                <w:color w:val="auto"/>
                <w:highlight w:val="none"/>
              </w:rPr>
              <w:t>本项目生活污水排放量合计为</w:t>
            </w:r>
            <w:r>
              <w:rPr>
                <w:rFonts w:hint="eastAsia" w:cs="Times New Roman"/>
                <w:color w:val="auto"/>
                <w:highlight w:val="none"/>
                <w:lang w:val="en-US" w:eastAsia="zh-CN"/>
              </w:rPr>
              <w:t>810</w:t>
            </w:r>
            <w:r>
              <w:rPr>
                <w:rFonts w:hint="default" w:ascii="Times New Roman" w:hAnsi="Times New Roman" w:cs="Times New Roman"/>
                <w:color w:val="auto"/>
                <w:highlight w:val="none"/>
              </w:rPr>
              <w:t>m³/a，主要污染物为pH、CODcr、BOD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、SS、氨氮、总磷、总氮、石油类，排入市政污水管网，最终排入</w:t>
            </w:r>
            <w:r>
              <w:rPr>
                <w:rFonts w:hint="eastAsia" w:cs="Times New Roman"/>
                <w:color w:val="auto"/>
                <w:highlight w:val="none"/>
                <w:lang w:eastAsia="zh-CN"/>
              </w:rPr>
              <w:t>大港石化产业园区污水处理厂</w:t>
            </w:r>
            <w:r>
              <w:rPr>
                <w:rFonts w:hint="default" w:ascii="Times New Roman" w:hAnsi="Times New Roman" w:cs="Times New Roman"/>
                <w:color w:val="auto"/>
                <w:highlight w:val="none"/>
              </w:rPr>
              <w:t>集中处理。参照《城市给排水工程规划设计实用全书》估计生活污水水质，该项目污水水质情况见下表。</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表4-1</w:t>
            </w:r>
            <w:r>
              <w:rPr>
                <w:rFonts w:hint="eastAsia"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rPr>
              <w:t xml:space="preserve"> 本项目水质情况一览表  单位mg/L(pH无量纲</w:t>
            </w:r>
            <w:r>
              <w:rPr>
                <w:rFonts w:hint="eastAsia" w:cs="Times New Roman"/>
                <w:b/>
                <w:bCs/>
                <w:color w:val="auto"/>
                <w:sz w:val="21"/>
                <w:szCs w:val="21"/>
                <w:highlight w:val="none"/>
                <w:lang w:eastAsia="zh-CN"/>
              </w:rPr>
              <w:t>）</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366"/>
              <w:gridCol w:w="1362"/>
              <w:gridCol w:w="1211"/>
              <w:gridCol w:w="2716"/>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752"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污水排放源</w:t>
                  </w:r>
                </w:p>
              </w:tc>
              <w:tc>
                <w:tcPr>
                  <w:tcW w:w="749"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产生量（t/a）</w:t>
                  </w:r>
                </w:p>
              </w:tc>
              <w:tc>
                <w:tcPr>
                  <w:tcW w:w="66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49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污染物产生浓度（mg/L）</w:t>
                  </w:r>
                </w:p>
              </w:tc>
              <w:tc>
                <w:tcPr>
                  <w:tcW w:w="133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752" w:type="pct"/>
                  <w:vMerge w:val="restar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员工生活</w:t>
                  </w:r>
                </w:p>
              </w:tc>
              <w:tc>
                <w:tcPr>
                  <w:tcW w:w="749" w:type="pct"/>
                  <w:vMerge w:val="restar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810</w:t>
                  </w:r>
                </w:p>
              </w:tc>
              <w:tc>
                <w:tcPr>
                  <w:tcW w:w="66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149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6-9（无量纲）</w:t>
                  </w:r>
                </w:p>
              </w:tc>
              <w:tc>
                <w:tcPr>
                  <w:tcW w:w="133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752" w:type="pct"/>
                  <w:vMerge w:val="continue"/>
                  <w:vAlign w:val="center"/>
                </w:tcPr>
                <w:p>
                  <w:pPr>
                    <w:jc w:val="center"/>
                    <w:rPr>
                      <w:rFonts w:hint="default" w:ascii="Times New Roman" w:hAnsi="Times New Roman" w:cs="Times New Roman"/>
                      <w:color w:val="auto"/>
                      <w:sz w:val="21"/>
                      <w:szCs w:val="21"/>
                      <w:highlight w:val="none"/>
                    </w:rPr>
                  </w:pPr>
                </w:p>
              </w:tc>
              <w:tc>
                <w:tcPr>
                  <w:tcW w:w="749" w:type="pct"/>
                  <w:vMerge w:val="continue"/>
                  <w:vAlign w:val="center"/>
                </w:tcPr>
                <w:p>
                  <w:pPr>
                    <w:jc w:val="center"/>
                    <w:rPr>
                      <w:rFonts w:hint="default" w:ascii="Times New Roman" w:hAnsi="Times New Roman" w:cs="Times New Roman"/>
                      <w:color w:val="auto"/>
                      <w:sz w:val="21"/>
                      <w:szCs w:val="21"/>
                      <w:highlight w:val="none"/>
                    </w:rPr>
                  </w:pPr>
                </w:p>
              </w:tc>
              <w:tc>
                <w:tcPr>
                  <w:tcW w:w="666"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COD</w:t>
                  </w:r>
                  <w:r>
                    <w:rPr>
                      <w:rFonts w:hint="eastAsia" w:cs="Times New Roman"/>
                      <w:color w:val="auto"/>
                      <w:sz w:val="21"/>
                      <w:szCs w:val="21"/>
                      <w:highlight w:val="none"/>
                      <w:lang w:val="en-US" w:eastAsia="zh-CN"/>
                    </w:rPr>
                    <w:t>cr</w:t>
                  </w:r>
                </w:p>
              </w:tc>
              <w:tc>
                <w:tcPr>
                  <w:tcW w:w="149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350</w:t>
                  </w:r>
                </w:p>
              </w:tc>
              <w:tc>
                <w:tcPr>
                  <w:tcW w:w="1336" w:type="pct"/>
                  <w:vAlign w:val="center"/>
                </w:tcPr>
                <w:p>
                  <w:pPr>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752" w:type="pct"/>
                  <w:vMerge w:val="continue"/>
                  <w:vAlign w:val="center"/>
                </w:tcPr>
                <w:p>
                  <w:pPr>
                    <w:jc w:val="center"/>
                    <w:rPr>
                      <w:rFonts w:hint="default" w:ascii="Times New Roman" w:hAnsi="Times New Roman" w:cs="Times New Roman"/>
                      <w:color w:val="auto"/>
                      <w:sz w:val="21"/>
                      <w:szCs w:val="21"/>
                      <w:highlight w:val="none"/>
                    </w:rPr>
                  </w:pPr>
                </w:p>
              </w:tc>
              <w:tc>
                <w:tcPr>
                  <w:tcW w:w="749" w:type="pct"/>
                  <w:vMerge w:val="continue"/>
                  <w:vAlign w:val="center"/>
                </w:tcPr>
                <w:p>
                  <w:pPr>
                    <w:jc w:val="center"/>
                    <w:rPr>
                      <w:rFonts w:hint="default" w:ascii="Times New Roman" w:hAnsi="Times New Roman" w:cs="Times New Roman"/>
                      <w:color w:val="auto"/>
                      <w:sz w:val="21"/>
                      <w:szCs w:val="21"/>
                      <w:highlight w:val="none"/>
                    </w:rPr>
                  </w:pPr>
                </w:p>
              </w:tc>
              <w:tc>
                <w:tcPr>
                  <w:tcW w:w="66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149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1336" w:type="pct"/>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20</w:t>
                  </w:r>
                  <w:r>
                    <w:rPr>
                      <w:rFonts w:hint="eastAsia" w:ascii="Times New Roman" w:hAnsi="Times New Roman" w:eastAsia="宋体" w:cs="Times New Roman"/>
                      <w:color w:val="auto"/>
                      <w:sz w:val="21"/>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752" w:type="pct"/>
                  <w:vMerge w:val="continue"/>
                  <w:vAlign w:val="center"/>
                </w:tcPr>
                <w:p>
                  <w:pPr>
                    <w:jc w:val="center"/>
                    <w:rPr>
                      <w:rFonts w:hint="default" w:ascii="Times New Roman" w:hAnsi="Times New Roman" w:cs="Times New Roman"/>
                      <w:color w:val="auto"/>
                      <w:sz w:val="21"/>
                      <w:szCs w:val="21"/>
                      <w:highlight w:val="none"/>
                    </w:rPr>
                  </w:pPr>
                </w:p>
              </w:tc>
              <w:tc>
                <w:tcPr>
                  <w:tcW w:w="749" w:type="pct"/>
                  <w:vMerge w:val="continue"/>
                  <w:vAlign w:val="center"/>
                </w:tcPr>
                <w:p>
                  <w:pPr>
                    <w:jc w:val="center"/>
                    <w:rPr>
                      <w:rFonts w:hint="default" w:ascii="Times New Roman" w:hAnsi="Times New Roman" w:cs="Times New Roman"/>
                      <w:color w:val="auto"/>
                      <w:sz w:val="21"/>
                      <w:szCs w:val="21"/>
                      <w:highlight w:val="none"/>
                    </w:rPr>
                  </w:pPr>
                </w:p>
              </w:tc>
              <w:tc>
                <w:tcPr>
                  <w:tcW w:w="66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149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c>
                <w:tcPr>
                  <w:tcW w:w="1336" w:type="pct"/>
                  <w:vAlign w:val="center"/>
                </w:tcPr>
                <w:p>
                  <w:pPr>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752" w:type="pct"/>
                  <w:vMerge w:val="continue"/>
                  <w:vAlign w:val="center"/>
                </w:tcPr>
                <w:p>
                  <w:pPr>
                    <w:jc w:val="center"/>
                    <w:rPr>
                      <w:rFonts w:hint="default" w:ascii="Times New Roman" w:hAnsi="Times New Roman" w:cs="Times New Roman"/>
                      <w:color w:val="auto"/>
                      <w:sz w:val="21"/>
                      <w:szCs w:val="21"/>
                      <w:highlight w:val="none"/>
                    </w:rPr>
                  </w:pPr>
                </w:p>
              </w:tc>
              <w:tc>
                <w:tcPr>
                  <w:tcW w:w="749" w:type="pct"/>
                  <w:vMerge w:val="continue"/>
                  <w:vAlign w:val="center"/>
                </w:tcPr>
                <w:p>
                  <w:pPr>
                    <w:jc w:val="center"/>
                    <w:rPr>
                      <w:rFonts w:hint="default" w:ascii="Times New Roman" w:hAnsi="Times New Roman" w:cs="Times New Roman"/>
                      <w:color w:val="auto"/>
                      <w:sz w:val="21"/>
                      <w:szCs w:val="21"/>
                      <w:highlight w:val="none"/>
                    </w:rPr>
                  </w:pPr>
                </w:p>
              </w:tc>
              <w:tc>
                <w:tcPr>
                  <w:tcW w:w="66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w:t>
                  </w:r>
                </w:p>
              </w:tc>
              <w:tc>
                <w:tcPr>
                  <w:tcW w:w="149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1336" w:type="pct"/>
                  <w:vAlign w:val="center"/>
                </w:tcPr>
                <w:p>
                  <w:pPr>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752" w:type="pct"/>
                  <w:vMerge w:val="continue"/>
                  <w:vAlign w:val="center"/>
                </w:tcPr>
                <w:p>
                  <w:pPr>
                    <w:jc w:val="center"/>
                    <w:rPr>
                      <w:rFonts w:hint="default" w:ascii="Times New Roman" w:hAnsi="Times New Roman" w:cs="Times New Roman"/>
                      <w:color w:val="auto"/>
                      <w:sz w:val="21"/>
                      <w:szCs w:val="21"/>
                      <w:highlight w:val="none"/>
                    </w:rPr>
                  </w:pPr>
                </w:p>
              </w:tc>
              <w:tc>
                <w:tcPr>
                  <w:tcW w:w="749" w:type="pct"/>
                  <w:vMerge w:val="continue"/>
                  <w:vAlign w:val="center"/>
                </w:tcPr>
                <w:p>
                  <w:pPr>
                    <w:jc w:val="center"/>
                    <w:rPr>
                      <w:rFonts w:hint="default" w:ascii="Times New Roman" w:hAnsi="Times New Roman" w:cs="Times New Roman"/>
                      <w:color w:val="auto"/>
                      <w:sz w:val="21"/>
                      <w:szCs w:val="21"/>
                      <w:highlight w:val="none"/>
                    </w:rPr>
                  </w:pPr>
                </w:p>
              </w:tc>
              <w:tc>
                <w:tcPr>
                  <w:tcW w:w="66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总磷</w:t>
                  </w:r>
                </w:p>
              </w:tc>
              <w:tc>
                <w:tcPr>
                  <w:tcW w:w="149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336" w:type="pct"/>
                  <w:vAlign w:val="center"/>
                </w:tcPr>
                <w:p>
                  <w:pPr>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0.00</w:t>
                  </w:r>
                  <w:r>
                    <w:rPr>
                      <w:rFonts w:hint="eastAsia" w:cs="Times New Roman"/>
                      <w:color w:val="auto"/>
                      <w:sz w:val="21"/>
                      <w:szCs w:val="21"/>
                      <w:highlight w:val="none"/>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752" w:type="pct"/>
                  <w:vMerge w:val="continue"/>
                  <w:vAlign w:val="center"/>
                </w:tcPr>
                <w:p>
                  <w:pPr>
                    <w:jc w:val="center"/>
                    <w:rPr>
                      <w:rFonts w:hint="default" w:ascii="Times New Roman" w:hAnsi="Times New Roman" w:cs="Times New Roman"/>
                      <w:color w:val="auto"/>
                      <w:sz w:val="21"/>
                      <w:szCs w:val="21"/>
                      <w:highlight w:val="none"/>
                    </w:rPr>
                  </w:pPr>
                </w:p>
              </w:tc>
              <w:tc>
                <w:tcPr>
                  <w:tcW w:w="749" w:type="pct"/>
                  <w:vMerge w:val="continue"/>
                  <w:vAlign w:val="center"/>
                </w:tcPr>
                <w:p>
                  <w:pPr>
                    <w:jc w:val="center"/>
                    <w:rPr>
                      <w:rFonts w:hint="default" w:ascii="Times New Roman" w:hAnsi="Times New Roman" w:cs="Times New Roman"/>
                      <w:color w:val="auto"/>
                      <w:sz w:val="21"/>
                      <w:szCs w:val="21"/>
                      <w:highlight w:val="none"/>
                    </w:rPr>
                  </w:pPr>
                </w:p>
              </w:tc>
              <w:tc>
                <w:tcPr>
                  <w:tcW w:w="66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c>
                <w:tcPr>
                  <w:tcW w:w="149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1336" w:type="pct"/>
                  <w:vAlign w:val="center"/>
                </w:tcPr>
                <w:p>
                  <w:pPr>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0.00</w:t>
                  </w:r>
                  <w:r>
                    <w:rPr>
                      <w:rFonts w:hint="eastAsia" w:cs="Times New Roman"/>
                      <w:color w:val="auto"/>
                      <w:sz w:val="21"/>
                      <w:szCs w:val="21"/>
                      <w:highlight w:val="none"/>
                      <w:lang w:val="en-US" w:eastAsia="zh-CN"/>
                    </w:rPr>
                    <w:t>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752" w:type="pct"/>
                  <w:vMerge w:val="continue"/>
                  <w:vAlign w:val="center"/>
                </w:tcPr>
                <w:p>
                  <w:pPr>
                    <w:jc w:val="center"/>
                    <w:rPr>
                      <w:rFonts w:hint="default" w:ascii="Times New Roman" w:hAnsi="Times New Roman" w:cs="Times New Roman"/>
                      <w:color w:val="auto"/>
                      <w:sz w:val="21"/>
                      <w:szCs w:val="21"/>
                      <w:highlight w:val="none"/>
                    </w:rPr>
                  </w:pPr>
                </w:p>
              </w:tc>
              <w:tc>
                <w:tcPr>
                  <w:tcW w:w="749" w:type="pct"/>
                  <w:vMerge w:val="continue"/>
                  <w:vAlign w:val="center"/>
                </w:tcPr>
                <w:p>
                  <w:pPr>
                    <w:jc w:val="center"/>
                    <w:rPr>
                      <w:rFonts w:hint="default" w:ascii="Times New Roman" w:hAnsi="Times New Roman" w:cs="Times New Roman"/>
                      <w:color w:val="auto"/>
                      <w:sz w:val="21"/>
                      <w:szCs w:val="21"/>
                      <w:highlight w:val="none"/>
                    </w:rPr>
                  </w:pPr>
                </w:p>
              </w:tc>
              <w:tc>
                <w:tcPr>
                  <w:tcW w:w="66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总氮</w:t>
                  </w:r>
                </w:p>
              </w:tc>
              <w:tc>
                <w:tcPr>
                  <w:tcW w:w="149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p>
              </w:tc>
              <w:tc>
                <w:tcPr>
                  <w:tcW w:w="1336" w:type="pct"/>
                  <w:vAlign w:val="center"/>
                </w:tcPr>
                <w:p>
                  <w:pPr>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0.0</w:t>
                  </w:r>
                  <w:r>
                    <w:rPr>
                      <w:rFonts w:hint="eastAsia" w:cs="Times New Roman"/>
                      <w:color w:val="auto"/>
                      <w:sz w:val="21"/>
                      <w:szCs w:val="21"/>
                      <w:highlight w:val="none"/>
                      <w:lang w:val="en-US" w:eastAsia="zh-CN"/>
                    </w:rPr>
                    <w:t>3645</w:t>
                  </w:r>
                </w:p>
              </w:tc>
            </w:tr>
          </w:tbl>
          <w:p>
            <w:pPr>
              <w:autoSpaceDE w:val="0"/>
              <w:autoSpaceDN w:val="0"/>
              <w:adjustRightIn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由上表可知，本项目生活污水经化粪池沉淀后排放到园区管网，通过市政污水管网最终进入</w:t>
            </w:r>
            <w:r>
              <w:rPr>
                <w:rFonts w:hint="eastAsia" w:cs="Times New Roman"/>
                <w:color w:val="auto"/>
                <w:highlight w:val="none"/>
                <w:lang w:eastAsia="zh-CN"/>
              </w:rPr>
              <w:t>大港石化产业园区污水处理厂</w:t>
            </w:r>
            <w:r>
              <w:rPr>
                <w:rFonts w:hint="default" w:ascii="Times New Roman" w:hAnsi="Times New Roman" w:cs="Times New Roman"/>
                <w:color w:val="auto"/>
                <w:highlight w:val="none"/>
              </w:rPr>
              <w:t>处理，废水中主要污染物的排放浓度预测值能够达到《污水综合排放准》（DB12/356-2018）三级标准的要求。因此，本项目产生的废水排放去向合理，不会对周围环境产生明显的不利影响。</w:t>
            </w:r>
          </w:p>
          <w:p>
            <w:pPr>
              <w:pStyle w:val="73"/>
              <w:ind w:left="480" w:leftChars="200"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3.依托污水处理厂可行性分析</w:t>
            </w:r>
          </w:p>
          <w:p>
            <w:pPr>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本项目生活污水经厂区污水总排口排入市政管网，最终排入</w:t>
            </w:r>
            <w:r>
              <w:rPr>
                <w:rFonts w:hint="eastAsia" w:cs="Times New Roman"/>
                <w:bCs/>
                <w:color w:val="auto"/>
                <w:highlight w:val="none"/>
                <w:lang w:eastAsia="zh-CN"/>
              </w:rPr>
              <w:t>大港石化产业园区污水处理厂</w:t>
            </w:r>
            <w:r>
              <w:rPr>
                <w:rFonts w:hint="default" w:ascii="Times New Roman" w:hAnsi="Times New Roman" w:cs="Times New Roman"/>
                <w:bCs/>
                <w:color w:val="auto"/>
                <w:highlight w:val="none"/>
              </w:rPr>
              <w:t>进一步集中处理。</w:t>
            </w:r>
          </w:p>
          <w:p>
            <w:pPr>
              <w:adjustRightInd w:val="0"/>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大港石化产业园污水处理厂位于大港石化产业园区，占地面积 43133m</w:t>
            </w:r>
            <w:r>
              <w:rPr>
                <w:rFonts w:hint="default" w:ascii="Times New Roman" w:hAnsi="Times New Roman" w:cs="Times New Roman"/>
                <w:bCs/>
                <w:color w:val="auto"/>
                <w:highlight w:val="none"/>
                <w:vertAlign w:val="superscript"/>
              </w:rPr>
              <w:t>2</w:t>
            </w:r>
            <w:r>
              <w:rPr>
                <w:rFonts w:hint="default" w:ascii="Times New Roman" w:hAnsi="Times New Roman" w:cs="Times New Roman"/>
                <w:bCs/>
                <w:color w:val="auto"/>
                <w:highlight w:val="none"/>
              </w:rPr>
              <w:t>，一期工程于 2009 年建成投产，规模为 0.5 万 m³/d，二期工程于 2017 年 6月建成，处理规模 1.0 万 m³/d，污水处理工艺为“水解酸化+A2O+MBR+臭氧接触消毒+消毒”。根据《污水综合排放标准》（DB12/356-2018）：排入公共污水处理系统的污水执行三级标准。本项目外排废水水质满足《污水综合排放标准》（DB12-356-2018）三级标准，满足大港石化产业园区污水处理厂涉及进水水质要求。根据已批复的《大港石化产业园园区污水处理厂二期改扩建项目环境影响报告书》，其出水水质可达到《城镇污水处理厂污染物排放标准》（DB12/599-2015）A 标准，收水范围主要为大港石化产业园区及古林工业园区事业单位，项目所在的古林工业园区于 2018 年 11 月接入大港石化产业园区污水处理厂，本项目位置在其收水范围内。</w:t>
            </w:r>
          </w:p>
          <w:p>
            <w:pPr>
              <w:adjustRightInd w:val="0"/>
              <w:spacing w:line="360" w:lineRule="auto"/>
              <w:ind w:firstLine="480" w:firstLineChars="200"/>
              <w:rPr>
                <w:rFonts w:hint="default" w:ascii="Times New Roman" w:hAnsi="Times New Roman" w:cs="Times New Roman"/>
                <w:b/>
                <w:bCs/>
                <w:color w:val="auto"/>
                <w:sz w:val="21"/>
                <w:szCs w:val="21"/>
                <w:highlight w:val="none"/>
              </w:rPr>
            </w:pPr>
            <w:r>
              <w:rPr>
                <w:rFonts w:hint="default" w:ascii="Times New Roman" w:hAnsi="Times New Roman" w:cs="Times New Roman"/>
                <w:bCs/>
                <w:color w:val="auto"/>
                <w:highlight w:val="none"/>
              </w:rPr>
              <w:t>本次评价引用“天津市污染源监测数据管理与信息共享平台”（网址：https://zxjc.sthj.tj.gov.cn:8888/PollutionMonitor-tj/publishEnterpriseInfo.do?ID=0A8D1AEE0237480F9DF7BECCC9C4A885）中公布的</w:t>
            </w:r>
            <w:r>
              <w:rPr>
                <w:rFonts w:hint="eastAsia" w:cs="Times New Roman"/>
                <w:bCs/>
                <w:color w:val="auto"/>
                <w:highlight w:val="none"/>
                <w:lang w:val="en-US" w:eastAsia="zh-CN"/>
              </w:rPr>
              <w:t>废水检测数据</w:t>
            </w:r>
            <w:r>
              <w:rPr>
                <w:rFonts w:hint="default" w:ascii="Times New Roman" w:hAnsi="Times New Roman" w:cs="Times New Roman"/>
                <w:bCs/>
                <w:color w:val="auto"/>
                <w:highlight w:val="none"/>
              </w:rPr>
              <w:t>来说明大港石化产业园区污水处理厂的出水水质达标情况。</w:t>
            </w:r>
          </w:p>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20</w:t>
            </w:r>
            <w:r>
              <w:rPr>
                <w:rFonts w:hint="default" w:ascii="Times New Roman" w:hAnsi="Times New Roman" w:cs="Times New Roman"/>
                <w:b/>
                <w:bCs/>
                <w:color w:val="auto"/>
                <w:sz w:val="21"/>
                <w:szCs w:val="21"/>
                <w:highlight w:val="none"/>
              </w:rPr>
              <w:t xml:space="preserve"> 大港石化产业园区污水处理厂监测数据统计结果</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1004"/>
              <w:gridCol w:w="897"/>
              <w:gridCol w:w="1119"/>
              <w:gridCol w:w="842"/>
              <w:gridCol w:w="842"/>
              <w:gridCol w:w="953"/>
              <w:gridCol w:w="711"/>
              <w:gridCol w:w="813"/>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4"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污水处理厂名称</w:t>
                  </w:r>
                </w:p>
              </w:tc>
              <w:tc>
                <w:tcPr>
                  <w:tcW w:w="552"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监测日期</w:t>
                  </w:r>
                </w:p>
              </w:tc>
              <w:tc>
                <w:tcPr>
                  <w:tcW w:w="493"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监测位置</w:t>
                  </w:r>
                </w:p>
              </w:tc>
              <w:tc>
                <w:tcPr>
                  <w:tcW w:w="615"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监测项目</w:t>
                  </w:r>
                </w:p>
              </w:tc>
              <w:tc>
                <w:tcPr>
                  <w:tcW w:w="463"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最小值</w:t>
                  </w:r>
                </w:p>
              </w:tc>
              <w:tc>
                <w:tcPr>
                  <w:tcW w:w="463"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最大值</w:t>
                  </w:r>
                </w:p>
              </w:tc>
              <w:tc>
                <w:tcPr>
                  <w:tcW w:w="524"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标准限值</w:t>
                  </w:r>
                </w:p>
              </w:tc>
              <w:tc>
                <w:tcPr>
                  <w:tcW w:w="39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44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是否达标</w:t>
                  </w:r>
                </w:p>
              </w:tc>
              <w:tc>
                <w:tcPr>
                  <w:tcW w:w="46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4" w:type="pct"/>
                  <w:vMerge w:val="restar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大港石化产业园区污水处理</w:t>
                  </w:r>
                </w:p>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w:t>
                  </w:r>
                </w:p>
              </w:tc>
              <w:tc>
                <w:tcPr>
                  <w:tcW w:w="552" w:type="pct"/>
                  <w:vMerge w:val="restar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2023年</w:t>
                  </w:r>
                  <w:r>
                    <w:rPr>
                      <w:rFonts w:hint="eastAsia"/>
                      <w:color w:val="auto"/>
                      <w:highlight w:val="none"/>
                      <w:lang w:val="en-US" w:eastAsia="zh-CN"/>
                    </w:rPr>
                    <w:t>12月1日</w:t>
                  </w:r>
                </w:p>
              </w:tc>
              <w:tc>
                <w:tcPr>
                  <w:tcW w:w="493" w:type="pct"/>
                  <w:vMerge w:val="restar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污水总排口</w:t>
                  </w:r>
                </w:p>
              </w:tc>
              <w:tc>
                <w:tcPr>
                  <w:tcW w:w="615" w:type="pct"/>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pH值</w:t>
                  </w:r>
                </w:p>
              </w:tc>
              <w:tc>
                <w:tcPr>
                  <w:tcW w:w="463"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7.175</w:t>
                  </w:r>
                </w:p>
              </w:tc>
              <w:tc>
                <w:tcPr>
                  <w:tcW w:w="463"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8.1</w:t>
                  </w:r>
                </w:p>
              </w:tc>
              <w:tc>
                <w:tcPr>
                  <w:tcW w:w="524"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6-9</w:t>
                  </w:r>
                </w:p>
              </w:tc>
              <w:tc>
                <w:tcPr>
                  <w:tcW w:w="391" w:type="pct"/>
                  <w:vAlign w:val="center"/>
                </w:tcPr>
                <w:p>
                  <w:pPr>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无量纲</w:t>
                  </w:r>
                </w:p>
              </w:tc>
              <w:tc>
                <w:tcPr>
                  <w:tcW w:w="44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46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4" w:type="pct"/>
                  <w:vMerge w:val="continue"/>
                  <w:vAlign w:val="center"/>
                </w:tcPr>
                <w:p>
                  <w:pPr>
                    <w:jc w:val="center"/>
                    <w:rPr>
                      <w:rFonts w:hint="default" w:ascii="Times New Roman" w:hAnsi="Times New Roman" w:cs="Times New Roman"/>
                      <w:color w:val="auto"/>
                      <w:sz w:val="21"/>
                      <w:szCs w:val="21"/>
                      <w:highlight w:val="none"/>
                    </w:rPr>
                  </w:pPr>
                </w:p>
              </w:tc>
              <w:tc>
                <w:tcPr>
                  <w:tcW w:w="552" w:type="pct"/>
                  <w:vMerge w:val="continue"/>
                  <w:vAlign w:val="center"/>
                </w:tcPr>
                <w:p>
                  <w:pPr>
                    <w:jc w:val="center"/>
                    <w:rPr>
                      <w:rFonts w:hint="eastAsia" w:cs="Times New Roman"/>
                      <w:color w:val="auto"/>
                      <w:sz w:val="21"/>
                      <w:szCs w:val="21"/>
                      <w:highlight w:val="none"/>
                      <w:lang w:val="en-US" w:eastAsia="zh-CN"/>
                    </w:rPr>
                  </w:pPr>
                </w:p>
              </w:tc>
              <w:tc>
                <w:tcPr>
                  <w:tcW w:w="493" w:type="pct"/>
                  <w:vMerge w:val="continue"/>
                  <w:vAlign w:val="center"/>
                </w:tcPr>
                <w:p>
                  <w:pPr>
                    <w:jc w:val="center"/>
                    <w:rPr>
                      <w:rFonts w:hint="eastAsia" w:cs="Times New Roman"/>
                      <w:color w:val="auto"/>
                      <w:sz w:val="21"/>
                      <w:szCs w:val="21"/>
                      <w:highlight w:val="none"/>
                      <w:lang w:val="en-US" w:eastAsia="zh-CN"/>
                    </w:rPr>
                  </w:pPr>
                </w:p>
              </w:tc>
              <w:tc>
                <w:tcPr>
                  <w:tcW w:w="615"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w:t>
                  </w:r>
                </w:p>
              </w:tc>
              <w:tc>
                <w:tcPr>
                  <w:tcW w:w="463"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0.029</w:t>
                  </w:r>
                </w:p>
              </w:tc>
              <w:tc>
                <w:tcPr>
                  <w:tcW w:w="463"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0.287</w:t>
                  </w:r>
                </w:p>
              </w:tc>
              <w:tc>
                <w:tcPr>
                  <w:tcW w:w="524"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1.5（3.0）</w:t>
                  </w:r>
                </w:p>
              </w:tc>
              <w:tc>
                <w:tcPr>
                  <w:tcW w:w="39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c>
                <w:tcPr>
                  <w:tcW w:w="44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46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4" w:type="pct"/>
                  <w:vMerge w:val="continue"/>
                  <w:vAlign w:val="center"/>
                </w:tcPr>
                <w:p>
                  <w:pPr>
                    <w:jc w:val="center"/>
                    <w:rPr>
                      <w:rFonts w:hint="default" w:ascii="Times New Roman" w:hAnsi="Times New Roman" w:cs="Times New Roman"/>
                      <w:color w:val="auto"/>
                      <w:sz w:val="21"/>
                      <w:szCs w:val="21"/>
                      <w:highlight w:val="none"/>
                    </w:rPr>
                  </w:pPr>
                </w:p>
              </w:tc>
              <w:tc>
                <w:tcPr>
                  <w:tcW w:w="552" w:type="pct"/>
                  <w:vMerge w:val="continue"/>
                  <w:vAlign w:val="center"/>
                </w:tcPr>
                <w:p>
                  <w:pPr>
                    <w:jc w:val="center"/>
                    <w:rPr>
                      <w:rFonts w:hint="eastAsia" w:cs="Times New Roman"/>
                      <w:color w:val="auto"/>
                      <w:sz w:val="21"/>
                      <w:szCs w:val="21"/>
                      <w:highlight w:val="none"/>
                      <w:lang w:val="en-US" w:eastAsia="zh-CN"/>
                    </w:rPr>
                  </w:pPr>
                </w:p>
              </w:tc>
              <w:tc>
                <w:tcPr>
                  <w:tcW w:w="493" w:type="pct"/>
                  <w:vMerge w:val="continue"/>
                  <w:vAlign w:val="center"/>
                </w:tcPr>
                <w:p>
                  <w:pPr>
                    <w:jc w:val="center"/>
                    <w:rPr>
                      <w:rFonts w:hint="eastAsia" w:cs="Times New Roman"/>
                      <w:color w:val="auto"/>
                      <w:sz w:val="21"/>
                      <w:szCs w:val="21"/>
                      <w:highlight w:val="none"/>
                      <w:lang w:val="en-US" w:eastAsia="zh-CN"/>
                    </w:rPr>
                  </w:pPr>
                </w:p>
              </w:tc>
              <w:tc>
                <w:tcPr>
                  <w:tcW w:w="615"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化学需氧量</w:t>
                  </w:r>
                </w:p>
              </w:tc>
              <w:tc>
                <w:tcPr>
                  <w:tcW w:w="463" w:type="pct"/>
                  <w:vAlign w:val="center"/>
                </w:tcPr>
                <w:p>
                  <w:pPr>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13.756</w:t>
                  </w:r>
                </w:p>
              </w:tc>
              <w:tc>
                <w:tcPr>
                  <w:tcW w:w="463" w:type="pct"/>
                  <w:vAlign w:val="center"/>
                </w:tcPr>
                <w:p>
                  <w:pPr>
                    <w:jc w:val="center"/>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21.383</w:t>
                  </w:r>
                </w:p>
              </w:tc>
              <w:tc>
                <w:tcPr>
                  <w:tcW w:w="524"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39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c>
                <w:tcPr>
                  <w:tcW w:w="44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46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4" w:type="pct"/>
                  <w:vMerge w:val="continue"/>
                  <w:vAlign w:val="center"/>
                </w:tcPr>
                <w:p>
                  <w:pPr>
                    <w:jc w:val="center"/>
                    <w:rPr>
                      <w:rFonts w:hint="default" w:ascii="Times New Roman" w:hAnsi="Times New Roman" w:cs="Times New Roman"/>
                      <w:color w:val="auto"/>
                      <w:sz w:val="21"/>
                      <w:szCs w:val="21"/>
                      <w:highlight w:val="none"/>
                    </w:rPr>
                  </w:pPr>
                </w:p>
              </w:tc>
              <w:tc>
                <w:tcPr>
                  <w:tcW w:w="552" w:type="pct"/>
                  <w:vMerge w:val="continue"/>
                  <w:vAlign w:val="center"/>
                </w:tcPr>
                <w:p>
                  <w:pPr>
                    <w:jc w:val="center"/>
                    <w:rPr>
                      <w:rFonts w:hint="eastAsia" w:cs="Times New Roman"/>
                      <w:color w:val="auto"/>
                      <w:sz w:val="21"/>
                      <w:szCs w:val="21"/>
                      <w:highlight w:val="none"/>
                      <w:lang w:val="en-US" w:eastAsia="zh-CN"/>
                    </w:rPr>
                  </w:pPr>
                </w:p>
              </w:tc>
              <w:tc>
                <w:tcPr>
                  <w:tcW w:w="493" w:type="pct"/>
                  <w:vMerge w:val="continue"/>
                  <w:vAlign w:val="center"/>
                </w:tcPr>
                <w:p>
                  <w:pPr>
                    <w:jc w:val="center"/>
                    <w:rPr>
                      <w:rFonts w:hint="eastAsia" w:cs="Times New Roman"/>
                      <w:color w:val="auto"/>
                      <w:sz w:val="21"/>
                      <w:szCs w:val="21"/>
                      <w:highlight w:val="none"/>
                      <w:lang w:val="en-US" w:eastAsia="zh-CN"/>
                    </w:rPr>
                  </w:pPr>
                </w:p>
              </w:tc>
              <w:tc>
                <w:tcPr>
                  <w:tcW w:w="615"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总磷</w:t>
                  </w:r>
                </w:p>
              </w:tc>
              <w:tc>
                <w:tcPr>
                  <w:tcW w:w="463"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0.088</w:t>
                  </w:r>
                </w:p>
              </w:tc>
              <w:tc>
                <w:tcPr>
                  <w:tcW w:w="463"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0.185</w:t>
                  </w:r>
                </w:p>
              </w:tc>
              <w:tc>
                <w:tcPr>
                  <w:tcW w:w="524"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39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c>
                <w:tcPr>
                  <w:tcW w:w="44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46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84" w:type="pct"/>
                  <w:vMerge w:val="continue"/>
                  <w:vAlign w:val="center"/>
                </w:tcPr>
                <w:p>
                  <w:pPr>
                    <w:jc w:val="center"/>
                    <w:rPr>
                      <w:rFonts w:hint="default" w:ascii="Times New Roman" w:hAnsi="Times New Roman" w:cs="Times New Roman"/>
                      <w:color w:val="auto"/>
                      <w:sz w:val="21"/>
                      <w:szCs w:val="21"/>
                      <w:highlight w:val="none"/>
                    </w:rPr>
                  </w:pPr>
                </w:p>
              </w:tc>
              <w:tc>
                <w:tcPr>
                  <w:tcW w:w="552" w:type="pct"/>
                  <w:vMerge w:val="continue"/>
                  <w:vAlign w:val="center"/>
                </w:tcPr>
                <w:p>
                  <w:pPr>
                    <w:jc w:val="center"/>
                    <w:rPr>
                      <w:rFonts w:hint="eastAsia" w:cs="Times New Roman"/>
                      <w:color w:val="auto"/>
                      <w:sz w:val="21"/>
                      <w:szCs w:val="21"/>
                      <w:highlight w:val="none"/>
                      <w:lang w:val="en-US" w:eastAsia="zh-CN"/>
                    </w:rPr>
                  </w:pPr>
                </w:p>
              </w:tc>
              <w:tc>
                <w:tcPr>
                  <w:tcW w:w="493" w:type="pct"/>
                  <w:vMerge w:val="continue"/>
                  <w:vAlign w:val="center"/>
                </w:tcPr>
                <w:p>
                  <w:pPr>
                    <w:jc w:val="center"/>
                    <w:rPr>
                      <w:rFonts w:hint="eastAsia" w:cs="Times New Roman"/>
                      <w:color w:val="auto"/>
                      <w:sz w:val="21"/>
                      <w:szCs w:val="21"/>
                      <w:highlight w:val="none"/>
                      <w:lang w:val="en-US" w:eastAsia="zh-CN"/>
                    </w:rPr>
                  </w:pPr>
                </w:p>
              </w:tc>
              <w:tc>
                <w:tcPr>
                  <w:tcW w:w="615"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总氮</w:t>
                  </w:r>
                </w:p>
              </w:tc>
              <w:tc>
                <w:tcPr>
                  <w:tcW w:w="463"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3.258</w:t>
                  </w:r>
                </w:p>
              </w:tc>
              <w:tc>
                <w:tcPr>
                  <w:tcW w:w="463"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5.759</w:t>
                  </w:r>
                </w:p>
              </w:tc>
              <w:tc>
                <w:tcPr>
                  <w:tcW w:w="524" w:type="pct"/>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39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mg/L</w:t>
                  </w:r>
                </w:p>
              </w:tc>
              <w:tc>
                <w:tcPr>
                  <w:tcW w:w="44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461"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bl>
          <w:p>
            <w:pPr>
              <w:autoSpaceDE w:val="0"/>
              <w:autoSpaceDN w:val="0"/>
              <w:adjustRightInd w:val="0"/>
              <w:spacing w:line="360" w:lineRule="auto"/>
              <w:ind w:firstLine="480" w:firstLineChars="200"/>
              <w:jc w:val="left"/>
              <w:rPr>
                <w:rFonts w:hint="default" w:ascii="Times New Roman" w:hAnsi="Times New Roman" w:cs="Times New Roman"/>
                <w:bCs/>
                <w:color w:val="auto"/>
                <w:szCs w:val="22"/>
                <w:highlight w:val="none"/>
              </w:rPr>
            </w:pPr>
            <w:r>
              <w:rPr>
                <w:rFonts w:hint="default" w:ascii="Times New Roman" w:hAnsi="Times New Roman" w:cs="Times New Roman"/>
                <w:bCs/>
                <w:color w:val="auto"/>
                <w:szCs w:val="22"/>
                <w:highlight w:val="none"/>
              </w:rPr>
              <w:t>由上表可知，大港石化产业园区污水处理厂出水水质达到《城镇污水处理厂污染物排放标准》（DB12/599-2015）A 标准，能稳定达标排放。</w:t>
            </w:r>
          </w:p>
          <w:p>
            <w:pPr>
              <w:autoSpaceDE w:val="0"/>
              <w:autoSpaceDN w:val="0"/>
              <w:adjustRightInd w:val="0"/>
              <w:spacing w:line="360" w:lineRule="auto"/>
              <w:ind w:firstLine="480" w:firstLineChars="200"/>
              <w:jc w:val="left"/>
              <w:rPr>
                <w:rFonts w:hint="default" w:ascii="Times New Roman" w:hAnsi="Times New Roman" w:cs="Times New Roman"/>
                <w:bCs/>
                <w:color w:val="auto"/>
                <w:szCs w:val="22"/>
                <w:highlight w:val="none"/>
              </w:rPr>
            </w:pPr>
            <w:r>
              <w:rPr>
                <w:rFonts w:hint="default" w:ascii="Times New Roman" w:hAnsi="Times New Roman" w:cs="Times New Roman"/>
                <w:bCs/>
                <w:color w:val="auto"/>
                <w:szCs w:val="22"/>
                <w:highlight w:val="none"/>
              </w:rPr>
              <w:t>本项目属于大港石化产业园区污水处理厂的收水范围，且污水水质达到《污</w:t>
            </w:r>
          </w:p>
          <w:p>
            <w:pPr>
              <w:autoSpaceDE w:val="0"/>
              <w:autoSpaceDN w:val="0"/>
              <w:adjustRightInd w:val="0"/>
              <w:spacing w:line="360" w:lineRule="auto"/>
              <w:jc w:val="left"/>
              <w:rPr>
                <w:rFonts w:hint="default" w:ascii="Times New Roman" w:hAnsi="Times New Roman" w:cs="Times New Roman"/>
                <w:bCs/>
                <w:color w:val="auto"/>
                <w:szCs w:val="22"/>
                <w:highlight w:val="none"/>
              </w:rPr>
            </w:pPr>
            <w:r>
              <w:rPr>
                <w:rFonts w:hint="default" w:ascii="Times New Roman" w:hAnsi="Times New Roman" w:cs="Times New Roman"/>
                <w:bCs/>
                <w:color w:val="auto"/>
                <w:szCs w:val="22"/>
                <w:highlight w:val="none"/>
              </w:rPr>
              <w:t>水综合排放标准》（DB12/356-2018）三级要求，符合该处理厂的收水水质要求，</w:t>
            </w:r>
          </w:p>
          <w:p>
            <w:pPr>
              <w:autoSpaceDE w:val="0"/>
              <w:autoSpaceDN w:val="0"/>
              <w:adjustRightInd w:val="0"/>
              <w:spacing w:line="360" w:lineRule="auto"/>
              <w:jc w:val="left"/>
              <w:rPr>
                <w:rFonts w:hint="default" w:ascii="Times New Roman" w:hAnsi="Times New Roman" w:cs="Times New Roman"/>
                <w:b/>
                <w:bCs/>
                <w:color w:val="auto"/>
                <w:highlight w:val="none"/>
              </w:rPr>
            </w:pPr>
            <w:r>
              <w:rPr>
                <w:rFonts w:hint="default" w:ascii="Times New Roman" w:hAnsi="Times New Roman" w:cs="Times New Roman"/>
                <w:bCs/>
                <w:color w:val="auto"/>
                <w:szCs w:val="22"/>
                <w:highlight w:val="none"/>
              </w:rPr>
              <w:t xml:space="preserve">不会对污水处理厂的运行产生明显影响。本项目建成后污水排放量为 </w:t>
            </w:r>
            <w:r>
              <w:rPr>
                <w:rFonts w:hint="eastAsia" w:cs="Times New Roman"/>
                <w:bCs/>
                <w:color w:val="auto"/>
                <w:szCs w:val="22"/>
                <w:highlight w:val="none"/>
                <w:lang w:val="en-US" w:eastAsia="zh-CN"/>
              </w:rPr>
              <w:t>2.7</w:t>
            </w:r>
            <w:r>
              <w:rPr>
                <w:rFonts w:hint="default" w:ascii="Times New Roman" w:hAnsi="Times New Roman" w:cs="Times New Roman"/>
                <w:bCs/>
                <w:color w:val="auto"/>
                <w:szCs w:val="22"/>
                <w:highlight w:val="none"/>
              </w:rPr>
              <w:t>m</w:t>
            </w:r>
            <w:r>
              <w:rPr>
                <w:rFonts w:hint="default" w:ascii="Times New Roman" w:hAnsi="Times New Roman" w:cs="Times New Roman"/>
                <w:bCs/>
                <w:color w:val="auto"/>
                <w:szCs w:val="22"/>
                <w:highlight w:val="none"/>
                <w:vertAlign w:val="superscript"/>
              </w:rPr>
              <w:t>3</w:t>
            </w:r>
            <w:r>
              <w:rPr>
                <w:rFonts w:hint="default" w:ascii="Times New Roman" w:hAnsi="Times New Roman" w:cs="Times New Roman"/>
                <w:bCs/>
                <w:color w:val="auto"/>
                <w:szCs w:val="22"/>
                <w:highlight w:val="none"/>
              </w:rPr>
              <w:t>/d，占污水处理厂的份额较小，不会对大港石化产业园区污水处理厂的处理负荷造成冲击。综上，本项目废水依托大港石化产业园区污水处理厂处理具备环境可行性。</w:t>
            </w:r>
          </w:p>
          <w:p>
            <w:pPr>
              <w:autoSpaceDE w:val="0"/>
              <w:autoSpaceDN w:val="0"/>
              <w:adjustRightInd w:val="0"/>
              <w:spacing w:line="360" w:lineRule="auto"/>
              <w:ind w:firstLine="482" w:firstLineChars="20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4.排放口的基本情况及排放标准</w:t>
            </w:r>
          </w:p>
          <w:p>
            <w:pPr>
              <w:autoSpaceDE w:val="0"/>
              <w:autoSpaceDN w:val="0"/>
              <w:adjustRightInd w:val="0"/>
              <w:snapToGrid w:val="0"/>
              <w:spacing w:line="360" w:lineRule="auto"/>
              <w:ind w:firstLine="480" w:firstLineChars="200"/>
              <w:rPr>
                <w:rFonts w:hint="default" w:ascii="Times New Roman" w:hAnsi="Times New Roman" w:cs="Times New Roman"/>
                <w:b/>
                <w:color w:val="auto"/>
                <w:sz w:val="21"/>
                <w:szCs w:val="22"/>
                <w:highlight w:val="none"/>
              </w:rPr>
            </w:pPr>
            <w:r>
              <w:rPr>
                <w:rFonts w:hint="default" w:ascii="Times New Roman" w:hAnsi="Times New Roman" w:cs="Times New Roman"/>
                <w:bCs/>
                <w:color w:val="auto"/>
                <w:highlight w:val="none"/>
              </w:rPr>
              <w:t>本项目为新建项目，本项目生活污水排入园区污水管网，最终排入</w:t>
            </w:r>
            <w:r>
              <w:rPr>
                <w:rFonts w:hint="eastAsia" w:cs="Times New Roman"/>
                <w:bCs/>
                <w:color w:val="auto"/>
                <w:highlight w:val="none"/>
                <w:lang w:eastAsia="zh-CN"/>
              </w:rPr>
              <w:t>大港石化产业园区污水处理厂</w:t>
            </w:r>
            <w:r>
              <w:rPr>
                <w:rFonts w:hint="default" w:ascii="Times New Roman" w:hAnsi="Times New Roman" w:cs="Times New Roman"/>
                <w:bCs/>
                <w:color w:val="auto"/>
                <w:highlight w:val="none"/>
              </w:rPr>
              <w:t>进一步处理，属于间接排放。</w:t>
            </w:r>
            <w:r>
              <w:rPr>
                <w:rFonts w:hint="default" w:ascii="Times New Roman" w:hAnsi="Times New Roman" w:cs="Times New Roman"/>
                <w:color w:val="auto"/>
                <w:highlight w:val="none"/>
              </w:rPr>
              <w:t>本项目运营期废水主要为生活污水，经厂内化粪池沉淀后排放到园区管网，</w:t>
            </w:r>
            <w:r>
              <w:rPr>
                <w:rFonts w:hint="eastAsia" w:cs="Times New Roman"/>
                <w:color w:val="auto"/>
                <w:highlight w:val="none"/>
                <w:lang w:val="en-US" w:eastAsia="zh-CN"/>
              </w:rPr>
              <w:t>本企业拥有独立污水总排口，</w:t>
            </w:r>
            <w:r>
              <w:rPr>
                <w:rFonts w:hint="default" w:ascii="Times New Roman" w:hAnsi="Times New Roman" w:cs="Times New Roman"/>
                <w:color w:val="auto"/>
                <w:highlight w:val="none"/>
              </w:rPr>
              <w:t>污水总排口规范化建设与日常监管由</w:t>
            </w:r>
            <w:r>
              <w:rPr>
                <w:rFonts w:hint="eastAsia" w:cs="Times New Roman"/>
                <w:color w:val="auto"/>
                <w:highlight w:val="none"/>
                <w:lang w:val="en-US" w:eastAsia="zh-CN"/>
              </w:rPr>
              <w:t>本企业</w:t>
            </w:r>
            <w:r>
              <w:rPr>
                <w:rFonts w:hint="default" w:ascii="Times New Roman" w:hAnsi="Times New Roman" w:cs="Times New Roman"/>
                <w:color w:val="auto"/>
                <w:highlight w:val="none"/>
              </w:rPr>
              <w:t>负责</w:t>
            </w:r>
            <w:r>
              <w:rPr>
                <w:rFonts w:hint="eastAsia" w:cs="Times New Roman"/>
                <w:color w:val="auto"/>
                <w:highlight w:val="none"/>
                <w:lang w:eastAsia="zh-CN"/>
              </w:rPr>
              <w:t>。</w:t>
            </w:r>
            <w:r>
              <w:rPr>
                <w:rFonts w:hint="default" w:ascii="Times New Roman" w:hAnsi="Times New Roman" w:cs="Times New Roman"/>
                <w:bCs/>
                <w:color w:val="auto"/>
                <w:highlight w:val="none"/>
              </w:rPr>
              <w:t>具体污染物排放信息见下表。</w:t>
            </w:r>
          </w:p>
          <w:p>
            <w:pPr>
              <w:jc w:val="center"/>
              <w:rPr>
                <w:rFonts w:hint="default" w:ascii="Times New Roman" w:hAnsi="Times New Roman" w:cs="Times New Roman"/>
                <w:b/>
                <w:color w:val="auto"/>
                <w:sz w:val="21"/>
                <w:szCs w:val="22"/>
                <w:highlight w:val="none"/>
              </w:rPr>
            </w:pPr>
            <w:r>
              <w:rPr>
                <w:rFonts w:hint="default" w:ascii="Times New Roman" w:hAnsi="Times New Roman" w:cs="Times New Roman"/>
                <w:b/>
                <w:color w:val="auto"/>
                <w:sz w:val="21"/>
                <w:szCs w:val="22"/>
                <w:highlight w:val="none"/>
              </w:rPr>
              <w:t>表4-</w:t>
            </w:r>
            <w:r>
              <w:rPr>
                <w:rFonts w:hint="eastAsia" w:cs="Times New Roman"/>
                <w:b/>
                <w:color w:val="auto"/>
                <w:sz w:val="21"/>
                <w:szCs w:val="22"/>
                <w:highlight w:val="none"/>
                <w:lang w:val="en-US" w:eastAsia="zh-CN"/>
              </w:rPr>
              <w:t>21</w:t>
            </w:r>
            <w:r>
              <w:rPr>
                <w:rFonts w:hint="default" w:ascii="Times New Roman" w:hAnsi="Times New Roman" w:cs="Times New Roman"/>
                <w:b/>
                <w:color w:val="auto"/>
                <w:sz w:val="21"/>
                <w:szCs w:val="22"/>
                <w:highlight w:val="none"/>
              </w:rPr>
              <w:t xml:space="preserve"> 废水类别、污染物及污染治理设施信息表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9"/>
              <w:gridCol w:w="647"/>
              <w:gridCol w:w="1045"/>
              <w:gridCol w:w="596"/>
              <w:gridCol w:w="1027"/>
              <w:gridCol w:w="765"/>
              <w:gridCol w:w="747"/>
              <w:gridCol w:w="749"/>
              <w:gridCol w:w="748"/>
              <w:gridCol w:w="746"/>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58" w:type="pct"/>
                  <w:vMerge w:val="restart"/>
                  <w:vAlign w:val="center"/>
                </w:tcPr>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序号</w:t>
                  </w:r>
                </w:p>
              </w:tc>
              <w:tc>
                <w:tcPr>
                  <w:tcW w:w="356" w:type="pct"/>
                  <w:vMerge w:val="restart"/>
                  <w:vAlign w:val="center"/>
                </w:tcPr>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废水</w:t>
                  </w:r>
                </w:p>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类别</w:t>
                  </w:r>
                </w:p>
              </w:tc>
              <w:tc>
                <w:tcPr>
                  <w:tcW w:w="575" w:type="pct"/>
                  <w:vMerge w:val="restart"/>
                  <w:vAlign w:val="center"/>
                </w:tcPr>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污染物</w:t>
                  </w:r>
                </w:p>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种类</w:t>
                  </w:r>
                </w:p>
              </w:tc>
              <w:tc>
                <w:tcPr>
                  <w:tcW w:w="328" w:type="pct"/>
                  <w:vMerge w:val="restart"/>
                  <w:vAlign w:val="center"/>
                </w:tcPr>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排放</w:t>
                  </w:r>
                </w:p>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去向</w:t>
                  </w:r>
                </w:p>
              </w:tc>
              <w:tc>
                <w:tcPr>
                  <w:tcW w:w="565" w:type="pct"/>
                  <w:vMerge w:val="restart"/>
                  <w:vAlign w:val="center"/>
                </w:tcPr>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排放规律</w:t>
                  </w:r>
                </w:p>
              </w:tc>
              <w:tc>
                <w:tcPr>
                  <w:tcW w:w="1244" w:type="pct"/>
                  <w:gridSpan w:val="3"/>
                  <w:vAlign w:val="center"/>
                </w:tcPr>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污染治理设施</w:t>
                  </w:r>
                </w:p>
              </w:tc>
              <w:tc>
                <w:tcPr>
                  <w:tcW w:w="411" w:type="pct"/>
                  <w:vMerge w:val="restart"/>
                  <w:vAlign w:val="center"/>
                </w:tcPr>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排放口编号</w:t>
                  </w:r>
                </w:p>
              </w:tc>
              <w:tc>
                <w:tcPr>
                  <w:tcW w:w="410" w:type="pct"/>
                  <w:vMerge w:val="restart"/>
                  <w:vAlign w:val="center"/>
                </w:tcPr>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排放口设置是否符合要求</w:t>
                  </w:r>
                </w:p>
              </w:tc>
              <w:tc>
                <w:tcPr>
                  <w:tcW w:w="849" w:type="pct"/>
                  <w:vMerge w:val="restart"/>
                  <w:vAlign w:val="center"/>
                </w:tcPr>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排放口</w:t>
                  </w:r>
                </w:p>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258" w:type="pct"/>
                  <w:vMerge w:val="continue"/>
                  <w:vAlign w:val="center"/>
                </w:tcPr>
                <w:p>
                  <w:pPr>
                    <w:jc w:val="left"/>
                    <w:rPr>
                      <w:rFonts w:hint="default" w:ascii="Times New Roman" w:hAnsi="Times New Roman" w:cs="Times New Roman"/>
                      <w:b/>
                      <w:color w:val="auto"/>
                      <w:sz w:val="21"/>
                      <w:szCs w:val="22"/>
                      <w:highlight w:val="none"/>
                    </w:rPr>
                  </w:pPr>
                </w:p>
              </w:tc>
              <w:tc>
                <w:tcPr>
                  <w:tcW w:w="356" w:type="pct"/>
                  <w:vMerge w:val="continue"/>
                  <w:vAlign w:val="center"/>
                </w:tcPr>
                <w:p>
                  <w:pPr>
                    <w:jc w:val="left"/>
                    <w:rPr>
                      <w:rFonts w:hint="default" w:ascii="Times New Roman" w:hAnsi="Times New Roman" w:cs="Times New Roman"/>
                      <w:b/>
                      <w:color w:val="auto"/>
                      <w:sz w:val="21"/>
                      <w:szCs w:val="22"/>
                      <w:highlight w:val="none"/>
                    </w:rPr>
                  </w:pPr>
                </w:p>
              </w:tc>
              <w:tc>
                <w:tcPr>
                  <w:tcW w:w="575" w:type="pct"/>
                  <w:vMerge w:val="continue"/>
                  <w:vAlign w:val="center"/>
                </w:tcPr>
                <w:p>
                  <w:pPr>
                    <w:jc w:val="left"/>
                    <w:rPr>
                      <w:rFonts w:hint="default" w:ascii="Times New Roman" w:hAnsi="Times New Roman" w:cs="Times New Roman"/>
                      <w:b/>
                      <w:color w:val="auto"/>
                      <w:sz w:val="21"/>
                      <w:szCs w:val="22"/>
                      <w:highlight w:val="none"/>
                    </w:rPr>
                  </w:pPr>
                </w:p>
              </w:tc>
              <w:tc>
                <w:tcPr>
                  <w:tcW w:w="328" w:type="pct"/>
                  <w:vMerge w:val="continue"/>
                  <w:vAlign w:val="center"/>
                </w:tcPr>
                <w:p>
                  <w:pPr>
                    <w:jc w:val="left"/>
                    <w:rPr>
                      <w:rFonts w:hint="default" w:ascii="Times New Roman" w:hAnsi="Times New Roman" w:cs="Times New Roman"/>
                      <w:b/>
                      <w:color w:val="auto"/>
                      <w:sz w:val="21"/>
                      <w:szCs w:val="22"/>
                      <w:highlight w:val="none"/>
                    </w:rPr>
                  </w:pPr>
                </w:p>
              </w:tc>
              <w:tc>
                <w:tcPr>
                  <w:tcW w:w="565" w:type="pct"/>
                  <w:vMerge w:val="continue"/>
                  <w:vAlign w:val="center"/>
                </w:tcPr>
                <w:p>
                  <w:pPr>
                    <w:jc w:val="left"/>
                    <w:rPr>
                      <w:rFonts w:hint="default" w:ascii="Times New Roman" w:hAnsi="Times New Roman" w:cs="Times New Roman"/>
                      <w:b/>
                      <w:color w:val="auto"/>
                      <w:sz w:val="21"/>
                      <w:szCs w:val="22"/>
                      <w:highlight w:val="none"/>
                    </w:rPr>
                  </w:pPr>
                </w:p>
              </w:tc>
              <w:tc>
                <w:tcPr>
                  <w:tcW w:w="421" w:type="pct"/>
                  <w:vAlign w:val="center"/>
                </w:tcPr>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编号</w:t>
                  </w:r>
                </w:p>
              </w:tc>
              <w:tc>
                <w:tcPr>
                  <w:tcW w:w="411" w:type="pct"/>
                  <w:vAlign w:val="center"/>
                </w:tcPr>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名称</w:t>
                  </w:r>
                </w:p>
              </w:tc>
              <w:tc>
                <w:tcPr>
                  <w:tcW w:w="411" w:type="pct"/>
                  <w:vAlign w:val="center"/>
                </w:tcPr>
                <w:p>
                  <w:pPr>
                    <w:adjustRightInd w:val="0"/>
                    <w:snapToGrid w:val="0"/>
                    <w:jc w:val="center"/>
                    <w:rPr>
                      <w:rFonts w:hint="default" w:ascii="Times New Roman" w:hAnsi="Times New Roman" w:cs="Times New Roman"/>
                      <w:bCs/>
                      <w:color w:val="auto"/>
                      <w:sz w:val="21"/>
                      <w:szCs w:val="22"/>
                      <w:highlight w:val="none"/>
                    </w:rPr>
                  </w:pPr>
                  <w:r>
                    <w:rPr>
                      <w:rFonts w:hint="default" w:ascii="Times New Roman" w:hAnsi="Times New Roman" w:cs="Times New Roman"/>
                      <w:bCs/>
                      <w:color w:val="auto"/>
                      <w:sz w:val="21"/>
                      <w:szCs w:val="22"/>
                      <w:highlight w:val="none"/>
                    </w:rPr>
                    <w:t>工艺</w:t>
                  </w:r>
                </w:p>
              </w:tc>
              <w:tc>
                <w:tcPr>
                  <w:tcW w:w="411" w:type="pct"/>
                  <w:vMerge w:val="continue"/>
                  <w:vAlign w:val="center"/>
                </w:tcPr>
                <w:p>
                  <w:pPr>
                    <w:jc w:val="left"/>
                    <w:rPr>
                      <w:rFonts w:hint="default" w:ascii="Times New Roman" w:hAnsi="Times New Roman" w:cs="Times New Roman"/>
                      <w:b/>
                      <w:color w:val="auto"/>
                      <w:sz w:val="21"/>
                      <w:szCs w:val="22"/>
                      <w:highlight w:val="none"/>
                    </w:rPr>
                  </w:pPr>
                </w:p>
              </w:tc>
              <w:tc>
                <w:tcPr>
                  <w:tcW w:w="410" w:type="pct"/>
                  <w:vMerge w:val="continue"/>
                  <w:vAlign w:val="center"/>
                </w:tcPr>
                <w:p>
                  <w:pPr>
                    <w:jc w:val="left"/>
                    <w:rPr>
                      <w:rFonts w:hint="default" w:ascii="Times New Roman" w:hAnsi="Times New Roman" w:cs="Times New Roman"/>
                      <w:b/>
                      <w:color w:val="auto"/>
                      <w:sz w:val="21"/>
                      <w:szCs w:val="22"/>
                      <w:highlight w:val="none"/>
                    </w:rPr>
                  </w:pPr>
                </w:p>
              </w:tc>
              <w:tc>
                <w:tcPr>
                  <w:tcW w:w="849" w:type="pct"/>
                  <w:vMerge w:val="continue"/>
                  <w:vAlign w:val="center"/>
                </w:tcPr>
                <w:p>
                  <w:pPr>
                    <w:jc w:val="left"/>
                    <w:rPr>
                      <w:rFonts w:hint="default" w:ascii="Times New Roman" w:hAnsi="Times New Roman" w:cs="Times New Roman"/>
                      <w:b/>
                      <w:color w:val="auto"/>
                      <w:sz w:val="21"/>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58" w:type="pct"/>
                  <w:vAlign w:val="center"/>
                </w:tcPr>
                <w:p>
                  <w:pPr>
                    <w:adjustRightInd w:val="0"/>
                    <w:snapToGrid w:val="0"/>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1</w:t>
                  </w:r>
                </w:p>
              </w:tc>
              <w:tc>
                <w:tcPr>
                  <w:tcW w:w="356" w:type="pct"/>
                  <w:vAlign w:val="center"/>
                </w:tcPr>
                <w:p>
                  <w:pPr>
                    <w:adjustRightInd w:val="0"/>
                    <w:snapToGrid w:val="0"/>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生活污水</w:t>
                  </w:r>
                </w:p>
              </w:tc>
              <w:tc>
                <w:tcPr>
                  <w:tcW w:w="575" w:type="pct"/>
                  <w:vAlign w:val="center"/>
                </w:tcPr>
                <w:p>
                  <w:pPr>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pH</w:t>
                  </w:r>
                </w:p>
                <w:p>
                  <w:pPr>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COD</w:t>
                  </w:r>
                  <w:r>
                    <w:rPr>
                      <w:rFonts w:hint="default" w:ascii="Times New Roman" w:hAnsi="Times New Roman" w:cs="Times New Roman"/>
                      <w:color w:val="auto"/>
                      <w:sz w:val="21"/>
                      <w:szCs w:val="21"/>
                      <w:highlight w:val="none"/>
                    </w:rPr>
                    <w:t>cr</w:t>
                  </w:r>
                </w:p>
                <w:p>
                  <w:pPr>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BOD</w:t>
                  </w:r>
                  <w:r>
                    <w:rPr>
                      <w:rFonts w:hint="default" w:ascii="Times New Roman" w:hAnsi="Times New Roman" w:cs="Times New Roman"/>
                      <w:color w:val="auto"/>
                      <w:sz w:val="21"/>
                      <w:szCs w:val="22"/>
                      <w:highlight w:val="none"/>
                      <w:vertAlign w:val="subscript"/>
                    </w:rPr>
                    <w:t>5</w:t>
                  </w:r>
                </w:p>
                <w:p>
                  <w:pPr>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SS</w:t>
                  </w:r>
                </w:p>
                <w:p>
                  <w:pPr>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氨氮</w:t>
                  </w:r>
                </w:p>
                <w:p>
                  <w:pPr>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总磷</w:t>
                  </w:r>
                </w:p>
                <w:p>
                  <w:pPr>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石油类</w:t>
                  </w:r>
                </w:p>
                <w:p>
                  <w:pPr>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总氮</w:t>
                  </w:r>
                </w:p>
              </w:tc>
              <w:tc>
                <w:tcPr>
                  <w:tcW w:w="328" w:type="pct"/>
                  <w:vAlign w:val="center"/>
                </w:tcPr>
                <w:p>
                  <w:pPr>
                    <w:adjustRightInd w:val="0"/>
                    <w:snapToGrid w:val="0"/>
                    <w:jc w:val="center"/>
                    <w:rPr>
                      <w:rFonts w:hint="eastAsia" w:ascii="Times New Roman" w:hAnsi="Times New Roman" w:eastAsia="宋体" w:cs="Times New Roman"/>
                      <w:color w:val="auto"/>
                      <w:sz w:val="21"/>
                      <w:szCs w:val="22"/>
                      <w:highlight w:val="none"/>
                      <w:lang w:eastAsia="zh-CN"/>
                    </w:rPr>
                  </w:pPr>
                  <w:r>
                    <w:rPr>
                      <w:rFonts w:hint="eastAsia" w:cs="Times New Roman"/>
                      <w:color w:val="auto"/>
                      <w:sz w:val="21"/>
                      <w:szCs w:val="22"/>
                      <w:highlight w:val="none"/>
                      <w:lang w:eastAsia="zh-CN"/>
                    </w:rPr>
                    <w:t>大港石化产业园区污水处理厂</w:t>
                  </w:r>
                </w:p>
              </w:tc>
              <w:tc>
                <w:tcPr>
                  <w:tcW w:w="565" w:type="pct"/>
                  <w:vAlign w:val="center"/>
                </w:tcPr>
                <w:p>
                  <w:pPr>
                    <w:adjustRightInd w:val="0"/>
                    <w:snapToGrid w:val="0"/>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间断排放，排放期间流量不稳定，但有周期性规律</w:t>
                  </w:r>
                </w:p>
              </w:tc>
              <w:tc>
                <w:tcPr>
                  <w:tcW w:w="421" w:type="pct"/>
                  <w:vAlign w:val="center"/>
                </w:tcPr>
                <w:p>
                  <w:pPr>
                    <w:adjustRightInd w:val="0"/>
                    <w:snapToGrid w:val="0"/>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w:t>
                  </w:r>
                </w:p>
              </w:tc>
              <w:tc>
                <w:tcPr>
                  <w:tcW w:w="411" w:type="pct"/>
                  <w:vAlign w:val="center"/>
                </w:tcPr>
                <w:p>
                  <w:pPr>
                    <w:adjustRightInd w:val="0"/>
                    <w:snapToGrid w:val="0"/>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w:t>
                  </w:r>
                </w:p>
              </w:tc>
              <w:tc>
                <w:tcPr>
                  <w:tcW w:w="411" w:type="pct"/>
                  <w:vAlign w:val="center"/>
                </w:tcPr>
                <w:p>
                  <w:pPr>
                    <w:adjustRightInd w:val="0"/>
                    <w:snapToGrid w:val="0"/>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w:t>
                  </w:r>
                </w:p>
              </w:tc>
              <w:tc>
                <w:tcPr>
                  <w:tcW w:w="411" w:type="pct"/>
                  <w:vAlign w:val="center"/>
                </w:tcPr>
                <w:p>
                  <w:pPr>
                    <w:adjustRightInd w:val="0"/>
                    <w:snapToGrid w:val="0"/>
                    <w:jc w:val="center"/>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DW001</w:t>
                  </w:r>
                </w:p>
              </w:tc>
              <w:tc>
                <w:tcPr>
                  <w:tcW w:w="410" w:type="pct"/>
                  <w:vAlign w:val="center"/>
                </w:tcPr>
                <w:p>
                  <w:pPr>
                    <w:adjustRightInd w:val="0"/>
                    <w:snapToGrid w:val="0"/>
                    <w:jc w:val="center"/>
                    <w:rPr>
                      <w:rFonts w:hint="default" w:ascii="Times New Roman" w:hAnsi="Times New Roman" w:cs="Times New Roman"/>
                      <w:snapToGrid w:val="0"/>
                      <w:color w:val="auto"/>
                      <w:kern w:val="20"/>
                      <w:sz w:val="21"/>
                      <w:szCs w:val="22"/>
                      <w:highlight w:val="none"/>
                    </w:rPr>
                  </w:pPr>
                  <w:r>
                    <w:rPr>
                      <w:rFonts w:hint="default" w:ascii="Times New Roman" w:hAnsi="Times New Roman" w:cs="Times New Roman"/>
                      <w:color w:val="auto"/>
                      <w:sz w:val="21"/>
                      <w:szCs w:val="22"/>
                      <w:highlight w:val="none"/>
                    </w:rPr>
                    <w:sym w:font="Wingdings 2" w:char="F052"/>
                  </w:r>
                  <w:r>
                    <w:rPr>
                      <w:rFonts w:hint="default" w:ascii="Times New Roman" w:hAnsi="Times New Roman" w:cs="Times New Roman"/>
                      <w:color w:val="auto"/>
                      <w:sz w:val="21"/>
                      <w:szCs w:val="22"/>
                      <w:highlight w:val="none"/>
                    </w:rPr>
                    <w:t>是</w:t>
                  </w:r>
                </w:p>
                <w:p>
                  <w:pPr>
                    <w:adjustRightInd w:val="0"/>
                    <w:snapToGrid w:val="0"/>
                    <w:jc w:val="center"/>
                    <w:rPr>
                      <w:rFonts w:hint="default" w:ascii="Times New Roman" w:hAnsi="Times New Roman" w:cs="Times New Roman"/>
                      <w:b/>
                      <w:bCs/>
                      <w:color w:val="auto"/>
                      <w:sz w:val="21"/>
                      <w:szCs w:val="22"/>
                      <w:highlight w:val="none"/>
                    </w:rPr>
                  </w:pPr>
                  <w:r>
                    <w:rPr>
                      <w:rFonts w:hint="default" w:ascii="Times New Roman" w:hAnsi="Times New Roman" w:cs="Times New Roman"/>
                      <w:color w:val="auto"/>
                      <w:sz w:val="21"/>
                      <w:szCs w:val="22"/>
                      <w:highlight w:val="none"/>
                    </w:rPr>
                    <w:t>□否</w:t>
                  </w:r>
                </w:p>
              </w:tc>
              <w:tc>
                <w:tcPr>
                  <w:tcW w:w="849" w:type="pct"/>
                  <w:vAlign w:val="center"/>
                </w:tcPr>
                <w:p>
                  <w:pPr>
                    <w:adjustRightInd w:val="0"/>
                    <w:snapToGrid w:val="0"/>
                    <w:rPr>
                      <w:rFonts w:hint="default" w:ascii="Times New Roman" w:hAnsi="Times New Roman" w:cs="Times New Roman"/>
                      <w:snapToGrid w:val="0"/>
                      <w:color w:val="auto"/>
                      <w:kern w:val="20"/>
                      <w:sz w:val="21"/>
                      <w:szCs w:val="22"/>
                      <w:highlight w:val="none"/>
                    </w:rPr>
                  </w:pPr>
                  <w:r>
                    <w:rPr>
                      <w:rFonts w:hint="default" w:ascii="Times New Roman" w:hAnsi="Times New Roman" w:cs="Times New Roman"/>
                      <w:color w:val="auto"/>
                      <w:sz w:val="21"/>
                      <w:szCs w:val="22"/>
                      <w:highlight w:val="none"/>
                    </w:rPr>
                    <w:sym w:font="Wingdings 2" w:char="F052"/>
                  </w:r>
                  <w:r>
                    <w:rPr>
                      <w:rFonts w:hint="default" w:ascii="Times New Roman" w:hAnsi="Times New Roman" w:cs="Times New Roman"/>
                      <w:color w:val="auto"/>
                      <w:sz w:val="21"/>
                      <w:szCs w:val="22"/>
                      <w:highlight w:val="none"/>
                    </w:rPr>
                    <w:t>企业总排</w:t>
                  </w:r>
                </w:p>
                <w:p>
                  <w:pPr>
                    <w:adjustRightInd w:val="0"/>
                    <w:snapToGrid w:val="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□雨水排放</w:t>
                  </w:r>
                </w:p>
                <w:p>
                  <w:pPr>
                    <w:adjustRightInd w:val="0"/>
                    <w:snapToGrid w:val="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w:t>
                  </w:r>
                  <w:r>
                    <w:rPr>
                      <w:rFonts w:hint="default" w:ascii="Times New Roman" w:hAnsi="Times New Roman" w:cs="Times New Roman"/>
                      <w:color w:val="auto"/>
                      <w:spacing w:val="-10"/>
                      <w:sz w:val="21"/>
                      <w:szCs w:val="22"/>
                      <w:highlight w:val="none"/>
                    </w:rPr>
                    <w:t>清净下水排放</w:t>
                  </w:r>
                </w:p>
                <w:p>
                  <w:pPr>
                    <w:adjustRightInd w:val="0"/>
                    <w:snapToGrid w:val="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□温排水排放</w:t>
                  </w:r>
                </w:p>
                <w:p>
                  <w:pPr>
                    <w:adjustRightInd w:val="0"/>
                    <w:snapToGrid w:val="0"/>
                    <w:rPr>
                      <w:rFonts w:hint="default" w:ascii="Times New Roman" w:hAnsi="Times New Roman" w:cs="Times New Roman"/>
                      <w:color w:val="auto"/>
                      <w:sz w:val="21"/>
                      <w:szCs w:val="22"/>
                      <w:highlight w:val="none"/>
                    </w:rPr>
                  </w:pPr>
                  <w:r>
                    <w:rPr>
                      <w:rFonts w:hint="default" w:ascii="Times New Roman" w:hAnsi="Times New Roman" w:cs="Times New Roman"/>
                      <w:color w:val="auto"/>
                      <w:sz w:val="21"/>
                      <w:szCs w:val="22"/>
                      <w:highlight w:val="none"/>
                    </w:rPr>
                    <w:t>□车间或车间处理设施排放口</w:t>
                  </w:r>
                </w:p>
              </w:tc>
            </w:tr>
          </w:tbl>
          <w:p>
            <w:pPr>
              <w:adjustRightInd w:val="0"/>
              <w:spacing w:before="120" w:beforeLines="5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表4-2</w:t>
            </w:r>
            <w:r>
              <w:rPr>
                <w:rFonts w:hint="eastAsia"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 xml:space="preserve">  废水间接排放口基本情况表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0"/>
              <w:gridCol w:w="802"/>
              <w:gridCol w:w="1489"/>
              <w:gridCol w:w="1402"/>
              <w:gridCol w:w="774"/>
              <w:gridCol w:w="671"/>
              <w:gridCol w:w="391"/>
              <w:gridCol w:w="431"/>
              <w:gridCol w:w="411"/>
              <w:gridCol w:w="893"/>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60"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序号</w:t>
                  </w:r>
                </w:p>
              </w:tc>
              <w:tc>
                <w:tcPr>
                  <w:tcW w:w="441"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排放口编号</w:t>
                  </w:r>
                </w:p>
              </w:tc>
              <w:tc>
                <w:tcPr>
                  <w:tcW w:w="1590" w:type="pct"/>
                  <w:gridSpan w:val="2"/>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排放口地理坐标</w:t>
                  </w:r>
                </w:p>
              </w:tc>
              <w:tc>
                <w:tcPr>
                  <w:tcW w:w="426"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废水排放量（万t/a）</w:t>
                  </w:r>
                </w:p>
              </w:tc>
              <w:tc>
                <w:tcPr>
                  <w:tcW w:w="369"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排放去向</w:t>
                  </w:r>
                </w:p>
              </w:tc>
              <w:tc>
                <w:tcPr>
                  <w:tcW w:w="215"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排放规律</w:t>
                  </w:r>
                </w:p>
              </w:tc>
              <w:tc>
                <w:tcPr>
                  <w:tcW w:w="237"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间歇排放时段</w:t>
                  </w:r>
                </w:p>
              </w:tc>
              <w:tc>
                <w:tcPr>
                  <w:tcW w:w="1558"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Cs/>
                      <w:color w:val="auto"/>
                      <w:kern w:val="2"/>
                      <w:sz w:val="21"/>
                      <w:szCs w:val="21"/>
                      <w:highlight w:val="none"/>
                    </w:rPr>
                  </w:pPr>
                </w:p>
              </w:tc>
              <w:tc>
                <w:tcPr>
                  <w:tcW w:w="44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Cs/>
                      <w:color w:val="auto"/>
                      <w:kern w:val="2"/>
                      <w:sz w:val="21"/>
                      <w:szCs w:val="21"/>
                      <w:highlight w:val="none"/>
                    </w:rPr>
                  </w:pPr>
                </w:p>
              </w:tc>
              <w:tc>
                <w:tcPr>
                  <w:tcW w:w="81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经度</w:t>
                  </w:r>
                </w:p>
              </w:tc>
              <w:tc>
                <w:tcPr>
                  <w:tcW w:w="77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纬度</w:t>
                  </w:r>
                </w:p>
              </w:tc>
              <w:tc>
                <w:tcPr>
                  <w:tcW w:w="42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Cs/>
                      <w:color w:val="auto"/>
                      <w:kern w:val="2"/>
                      <w:sz w:val="21"/>
                      <w:szCs w:val="21"/>
                      <w:highlight w:val="none"/>
                    </w:rPr>
                  </w:pPr>
                </w:p>
              </w:tc>
              <w:tc>
                <w:tcPr>
                  <w:tcW w:w="36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Cs/>
                      <w:color w:val="auto"/>
                      <w:kern w:val="2"/>
                      <w:sz w:val="21"/>
                      <w:szCs w:val="21"/>
                      <w:highlight w:val="none"/>
                    </w:rPr>
                  </w:pPr>
                </w:p>
              </w:tc>
              <w:tc>
                <w:tcPr>
                  <w:tcW w:w="21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Cs/>
                      <w:color w:val="auto"/>
                      <w:kern w:val="2"/>
                      <w:sz w:val="21"/>
                      <w:szCs w:val="21"/>
                      <w:highlight w:val="none"/>
                    </w:rPr>
                  </w:pPr>
                </w:p>
              </w:tc>
              <w:tc>
                <w:tcPr>
                  <w:tcW w:w="23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bCs/>
                      <w:color w:val="auto"/>
                      <w:kern w:val="2"/>
                      <w:sz w:val="21"/>
                      <w:szCs w:val="21"/>
                      <w:highlight w:val="none"/>
                    </w:rPr>
                  </w:pPr>
                </w:p>
              </w:tc>
              <w:tc>
                <w:tcPr>
                  <w:tcW w:w="226"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名称</w:t>
                  </w:r>
                </w:p>
              </w:tc>
              <w:tc>
                <w:tcPr>
                  <w:tcW w:w="49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污染物种类</w:t>
                  </w:r>
                </w:p>
              </w:tc>
              <w:tc>
                <w:tcPr>
                  <w:tcW w:w="83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DB12/599-2015</w:t>
                  </w:r>
                </w:p>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C标准浓度限值/（mg/L）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41"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DW001</w:t>
                  </w:r>
                </w:p>
              </w:tc>
              <w:tc>
                <w:tcPr>
                  <w:tcW w:w="819"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117 .4</w:t>
                  </w:r>
                  <w:r>
                    <w:rPr>
                      <w:rFonts w:hint="eastAsia" w:cs="Times New Roman"/>
                      <w:color w:val="auto"/>
                      <w:sz w:val="21"/>
                      <w:szCs w:val="21"/>
                      <w:highlight w:val="none"/>
                      <w:lang w:val="en-US" w:eastAsia="zh-CN"/>
                    </w:rPr>
                    <w:t>56188°</w:t>
                  </w:r>
                  <w:r>
                    <w:rPr>
                      <w:rFonts w:hint="default" w:ascii="Times New Roman" w:hAnsi="Times New Roman" w:cs="Times New Roman"/>
                      <w:color w:val="auto"/>
                      <w:sz w:val="21"/>
                      <w:szCs w:val="21"/>
                      <w:highlight w:val="none"/>
                    </w:rPr>
                    <w:t>E</w:t>
                  </w:r>
                </w:p>
              </w:tc>
              <w:tc>
                <w:tcPr>
                  <w:tcW w:w="771"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38 .818549</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N</w:t>
                  </w:r>
                </w:p>
              </w:tc>
              <w:tc>
                <w:tcPr>
                  <w:tcW w:w="426"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0.0</w:t>
                  </w:r>
                  <w:r>
                    <w:rPr>
                      <w:rFonts w:hint="eastAsia" w:cs="Times New Roman"/>
                      <w:color w:val="auto"/>
                      <w:sz w:val="21"/>
                      <w:szCs w:val="21"/>
                      <w:highlight w:val="none"/>
                      <w:lang w:val="en-US" w:eastAsia="zh-CN"/>
                    </w:rPr>
                    <w:t>81</w:t>
                  </w:r>
                </w:p>
              </w:tc>
              <w:tc>
                <w:tcPr>
                  <w:tcW w:w="369" w:type="pct"/>
                  <w:vMerge w:val="restart"/>
                  <w:tcBorders>
                    <w:top w:val="single" w:color="auto" w:sz="4" w:space="0"/>
                    <w:left w:val="single" w:color="auto" w:sz="4" w:space="0"/>
                    <w:right w:val="single" w:color="auto" w:sz="4" w:space="0"/>
                  </w:tcBorders>
                  <w:vAlign w:val="center"/>
                </w:tcPr>
                <w:p>
                  <w:pPr>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大港石化产业园区污水处理厂</w:t>
                  </w:r>
                </w:p>
              </w:tc>
              <w:tc>
                <w:tcPr>
                  <w:tcW w:w="215"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间歇</w:t>
                  </w:r>
                </w:p>
              </w:tc>
              <w:tc>
                <w:tcPr>
                  <w:tcW w:w="237" w:type="pct"/>
                  <w:vMerge w:val="restart"/>
                  <w:tcBorders>
                    <w:top w:val="single" w:color="auto" w:sz="4" w:space="0"/>
                    <w:left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全天</w:t>
                  </w:r>
                </w:p>
              </w:tc>
              <w:tc>
                <w:tcPr>
                  <w:tcW w:w="226" w:type="pct"/>
                  <w:vMerge w:val="restart"/>
                  <w:tcBorders>
                    <w:top w:val="single" w:color="auto" w:sz="4" w:space="0"/>
                    <w:left w:val="single" w:color="auto" w:sz="4" w:space="0"/>
                    <w:right w:val="single" w:color="auto" w:sz="4" w:space="0"/>
                  </w:tcBorders>
                  <w:vAlign w:val="center"/>
                </w:tcPr>
                <w:p>
                  <w:pPr>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大港石化产业园区污水处理厂</w:t>
                  </w:r>
                </w:p>
              </w:tc>
              <w:tc>
                <w:tcPr>
                  <w:tcW w:w="491"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pH值</w:t>
                  </w:r>
                </w:p>
              </w:tc>
              <w:tc>
                <w:tcPr>
                  <w:tcW w:w="839"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1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77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26"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36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1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3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26"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91"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CODcr</w:t>
                  </w:r>
                </w:p>
              </w:tc>
              <w:tc>
                <w:tcPr>
                  <w:tcW w:w="839"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1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77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26"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36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1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3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26"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91"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839"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0"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1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77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26"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36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1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3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26"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91"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839"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1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77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26"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36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1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3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26"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91"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氨氮（以N计）</w:t>
                  </w:r>
                </w:p>
              </w:tc>
              <w:tc>
                <w:tcPr>
                  <w:tcW w:w="839"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3.0</w:t>
                  </w: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1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77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26"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36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1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3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26"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91"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总氮（以N计）</w:t>
                  </w:r>
                </w:p>
              </w:tc>
              <w:tc>
                <w:tcPr>
                  <w:tcW w:w="839"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1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77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26"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36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1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3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26"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91"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总磷（以P计）</w:t>
                  </w:r>
                </w:p>
              </w:tc>
              <w:tc>
                <w:tcPr>
                  <w:tcW w:w="839"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1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771"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26"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36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1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3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226"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91"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c>
                <w:tcPr>
                  <w:tcW w:w="839" w:type="pct"/>
                  <w:tcBorders>
                    <w:top w:val="single" w:color="auto" w:sz="4" w:space="0"/>
                    <w:left w:val="single" w:color="auto" w:sz="4" w:space="0"/>
                    <w:bottom w:val="single" w:color="auto" w:sz="4" w:space="0"/>
                    <w:right w:val="single" w:color="auto" w:sz="4" w:space="0"/>
                  </w:tcBorders>
                  <w:vAlign w:val="center"/>
                </w:tcPr>
                <w:p>
                  <w:pPr>
                    <w:contextualSpacing/>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r>
          </w:tbl>
          <w:p>
            <w:pPr>
              <w:adjustRightInd w:val="0"/>
              <w:spacing w:before="120" w:beforeLines="50"/>
              <w:jc w:val="center"/>
              <w:rPr>
                <w:rFonts w:hint="default" w:ascii="Times New Roman" w:hAnsi="Times New Roman" w:cs="Times New Roman"/>
                <w:b/>
                <w:color w:val="auto"/>
                <w:sz w:val="21"/>
                <w:szCs w:val="21"/>
                <w:highlight w:val="none"/>
              </w:rPr>
            </w:pPr>
          </w:p>
          <w:p>
            <w:pPr>
              <w:adjustRightInd w:val="0"/>
              <w:spacing w:before="120" w:beforeLines="50"/>
              <w:jc w:val="center"/>
              <w:rPr>
                <w:rFonts w:hint="default" w:ascii="Times New Roman" w:hAnsi="Times New Roman" w:cs="Times New Roman"/>
                <w:b/>
                <w:color w:val="auto"/>
                <w:sz w:val="21"/>
                <w:szCs w:val="21"/>
                <w:highlight w:val="none"/>
              </w:rPr>
            </w:pPr>
            <w:r>
              <w:rPr>
                <w:rFonts w:hint="eastAsia" w:cs="Times New Roman"/>
                <w:b/>
                <w:color w:val="auto"/>
                <w:sz w:val="21"/>
                <w:szCs w:val="21"/>
                <w:highlight w:val="none"/>
                <w:lang w:val="en-US" w:eastAsia="zh-CN"/>
              </w:rPr>
              <w:t>°</w:t>
            </w:r>
            <w:r>
              <w:rPr>
                <w:rFonts w:hint="default" w:ascii="Times New Roman" w:hAnsi="Times New Roman" w:cs="Times New Roman"/>
                <w:b/>
                <w:color w:val="auto"/>
                <w:sz w:val="21"/>
                <w:szCs w:val="21"/>
                <w:highlight w:val="none"/>
              </w:rPr>
              <w:t>表4-2</w:t>
            </w:r>
            <w:r>
              <w:rPr>
                <w:rFonts w:hint="eastAsia" w:cs="Times New Roman"/>
                <w:b/>
                <w:color w:val="auto"/>
                <w:sz w:val="21"/>
                <w:szCs w:val="21"/>
                <w:highlight w:val="none"/>
                <w:lang w:val="en-US" w:eastAsia="zh-CN"/>
              </w:rPr>
              <w:t>3</w:t>
            </w:r>
            <w:r>
              <w:rPr>
                <w:rFonts w:hint="default" w:ascii="Times New Roman" w:hAnsi="Times New Roman" w:cs="Times New Roman"/>
                <w:b/>
                <w:color w:val="auto"/>
                <w:sz w:val="21"/>
                <w:szCs w:val="21"/>
                <w:highlight w:val="none"/>
              </w:rPr>
              <w:t xml:space="preserve"> 废水污染物排放执行标准表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1"/>
              <w:gridCol w:w="1518"/>
              <w:gridCol w:w="1838"/>
              <w:gridCol w:w="2696"/>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7" w:type="pct"/>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835" w:type="pct"/>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排放口编号</w:t>
                  </w:r>
                </w:p>
              </w:tc>
              <w:tc>
                <w:tcPr>
                  <w:tcW w:w="1011" w:type="pct"/>
                  <w:vMerge w:val="restar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污染物种类</w:t>
                  </w:r>
                </w:p>
              </w:tc>
              <w:tc>
                <w:tcPr>
                  <w:tcW w:w="2705" w:type="pct"/>
                  <w:gridSpan w:val="2"/>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7"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3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01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483"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w:t>
                  </w:r>
                </w:p>
              </w:tc>
              <w:tc>
                <w:tcPr>
                  <w:tcW w:w="1222"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7" w:type="pct"/>
                  <w:vMerge w:val="restart"/>
                  <w:tcBorders>
                    <w:top w:val="single" w:color="auto" w:sz="4" w:space="0"/>
                    <w:left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835" w:type="pct"/>
                  <w:vMerge w:val="restart"/>
                  <w:tcBorders>
                    <w:top w:val="single" w:color="auto" w:sz="4" w:space="0"/>
                    <w:left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DW001</w:t>
                  </w: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1483" w:type="pct"/>
                  <w:vMerge w:val="restart"/>
                  <w:tcBorders>
                    <w:top w:val="single" w:color="auto" w:sz="4" w:space="0"/>
                    <w:left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《污水综合排放标准》（DB12/356-2018）三级标准</w:t>
                  </w:r>
                </w:p>
              </w:tc>
              <w:tc>
                <w:tcPr>
                  <w:tcW w:w="1222"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6~9（无量纲）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3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CODcr</w:t>
                  </w:r>
                </w:p>
              </w:tc>
              <w:tc>
                <w:tcPr>
                  <w:tcW w:w="1483"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22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3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1483"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22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3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1483"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22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3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1483"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22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3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总氮</w:t>
                  </w:r>
                </w:p>
              </w:tc>
              <w:tc>
                <w:tcPr>
                  <w:tcW w:w="1483"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22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3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总磷</w:t>
                  </w:r>
                </w:p>
              </w:tc>
              <w:tc>
                <w:tcPr>
                  <w:tcW w:w="1483"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22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35"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01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c>
                <w:tcPr>
                  <w:tcW w:w="1483"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122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r>
          </w:tbl>
          <w:p>
            <w:pPr>
              <w:adjustRightInd w:val="0"/>
              <w:spacing w:before="120" w:beforeLines="5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表4-2</w:t>
            </w:r>
            <w:r>
              <w:rPr>
                <w:rFonts w:hint="eastAsia" w:cs="Times New Roman"/>
                <w:b/>
                <w:color w:val="auto"/>
                <w:sz w:val="21"/>
                <w:szCs w:val="21"/>
                <w:highlight w:val="none"/>
                <w:lang w:val="en-US" w:eastAsia="zh-CN"/>
              </w:rPr>
              <w:t>4</w:t>
            </w:r>
            <w:r>
              <w:rPr>
                <w:rFonts w:hint="default" w:ascii="Times New Roman" w:hAnsi="Times New Roman" w:cs="Times New Roman"/>
                <w:b/>
                <w:color w:val="auto"/>
                <w:sz w:val="21"/>
                <w:szCs w:val="21"/>
                <w:highlight w:val="none"/>
              </w:rPr>
              <w:t xml:space="preserve">  废水污染物排放信息表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9"/>
              <w:gridCol w:w="1179"/>
              <w:gridCol w:w="1358"/>
              <w:gridCol w:w="1456"/>
              <w:gridCol w:w="1567"/>
              <w:gridCol w:w="1227"/>
              <w:gridCol w:w="1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648"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排放口编号</w:t>
                  </w:r>
                </w:p>
              </w:tc>
              <w:tc>
                <w:tcPr>
                  <w:tcW w:w="747"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废水类型</w:t>
                  </w:r>
                </w:p>
              </w:tc>
              <w:tc>
                <w:tcPr>
                  <w:tcW w:w="80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污染物种类</w:t>
                  </w:r>
                </w:p>
              </w:tc>
              <w:tc>
                <w:tcPr>
                  <w:tcW w:w="861"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排放浓度（mg/L）</w:t>
                  </w:r>
                </w:p>
              </w:tc>
              <w:tc>
                <w:tcPr>
                  <w:tcW w:w="675"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日排放量（t/d）</w:t>
                  </w:r>
                </w:p>
              </w:tc>
              <w:tc>
                <w:tcPr>
                  <w:tcW w:w="945" w:type="pct"/>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319" w:type="pct"/>
                  <w:vMerge w:val="restart"/>
                  <w:tcBorders>
                    <w:left w:val="single" w:color="auto" w:sz="4" w:space="0"/>
                    <w:right w:val="single" w:color="auto" w:sz="4" w:space="0"/>
                  </w:tcBorders>
                  <w:vAlign w:val="center"/>
                </w:tcPr>
                <w:p>
                  <w:pPr>
                    <w:spacing w:line="24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1</w:t>
                  </w:r>
                </w:p>
              </w:tc>
              <w:tc>
                <w:tcPr>
                  <w:tcW w:w="648" w:type="pct"/>
                  <w:vMerge w:val="restart"/>
                  <w:tcBorders>
                    <w:left w:val="single" w:color="auto" w:sz="4" w:space="0"/>
                    <w:right w:val="single" w:color="auto" w:sz="4" w:space="0"/>
                  </w:tcBorders>
                  <w:vAlign w:val="center"/>
                </w:tcPr>
                <w:p>
                  <w:pPr>
                    <w:spacing w:line="360" w:lineRule="auto"/>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DW001</w:t>
                  </w:r>
                </w:p>
              </w:tc>
              <w:tc>
                <w:tcPr>
                  <w:tcW w:w="747" w:type="pct"/>
                  <w:vMerge w:val="restart"/>
                  <w:tcBorders>
                    <w:left w:val="single" w:color="auto" w:sz="4" w:space="0"/>
                    <w:right w:val="single" w:color="auto" w:sz="4" w:space="0"/>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生活污水</w:t>
                  </w:r>
                </w:p>
              </w:tc>
              <w:tc>
                <w:tcPr>
                  <w:tcW w:w="80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86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94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4" w:hRule="atLeast"/>
                <w:jc w:val="center"/>
              </w:trPr>
              <w:tc>
                <w:tcPr>
                  <w:tcW w:w="31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648"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74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rPr>
                    <w:t>cr</w:t>
                  </w:r>
                </w:p>
              </w:tc>
              <w:tc>
                <w:tcPr>
                  <w:tcW w:w="86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350</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0.000945</w:t>
                  </w:r>
                </w:p>
              </w:tc>
              <w:tc>
                <w:tcPr>
                  <w:tcW w:w="94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31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648"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74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86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250</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0.000675</w:t>
                  </w:r>
                </w:p>
              </w:tc>
              <w:tc>
                <w:tcPr>
                  <w:tcW w:w="94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31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648"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74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86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300</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0.00081</w:t>
                  </w:r>
                </w:p>
              </w:tc>
              <w:tc>
                <w:tcPr>
                  <w:tcW w:w="94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31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648"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74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w:t>
                  </w:r>
                </w:p>
              </w:tc>
              <w:tc>
                <w:tcPr>
                  <w:tcW w:w="86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0.000081</w:t>
                  </w:r>
                </w:p>
              </w:tc>
              <w:tc>
                <w:tcPr>
                  <w:tcW w:w="94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31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648"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74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总磷</w:t>
                  </w:r>
                </w:p>
              </w:tc>
              <w:tc>
                <w:tcPr>
                  <w:tcW w:w="86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0.0000054</w:t>
                  </w:r>
                </w:p>
              </w:tc>
              <w:tc>
                <w:tcPr>
                  <w:tcW w:w="94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31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648"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74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c>
                <w:tcPr>
                  <w:tcW w:w="86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0.0000216</w:t>
                  </w:r>
                </w:p>
              </w:tc>
              <w:tc>
                <w:tcPr>
                  <w:tcW w:w="94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319"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648"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747" w:type="pct"/>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80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总氮</w:t>
                  </w:r>
                </w:p>
              </w:tc>
              <w:tc>
                <w:tcPr>
                  <w:tcW w:w="861"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0.0001215</w:t>
                  </w:r>
                </w:p>
              </w:tc>
              <w:tc>
                <w:tcPr>
                  <w:tcW w:w="94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968" w:type="pct"/>
                  <w:gridSpan w:val="2"/>
                  <w:vMerge w:val="restart"/>
                  <w:tcBorders>
                    <w:left w:val="single" w:color="auto" w:sz="4" w:space="0"/>
                    <w:right w:val="single" w:color="auto" w:sz="4" w:space="0"/>
                  </w:tcBorders>
                  <w:vAlign w:val="center"/>
                </w:tcPr>
                <w:p>
                  <w:pPr>
                    <w:widowControl/>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排放口合计</w:t>
                  </w:r>
                </w:p>
              </w:tc>
              <w:tc>
                <w:tcPr>
                  <w:tcW w:w="2410"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4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968" w:type="pct"/>
                  <w:gridSpan w:val="2"/>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sz w:val="21"/>
                      <w:szCs w:val="21"/>
                      <w:highlight w:val="none"/>
                    </w:rPr>
                  </w:pPr>
                </w:p>
              </w:tc>
              <w:tc>
                <w:tcPr>
                  <w:tcW w:w="2410"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w:t>
                  </w:r>
                  <w:r>
                    <w:rPr>
                      <w:rFonts w:hint="default" w:ascii="Times New Roman" w:hAnsi="Times New Roman" w:cs="Times New Roman"/>
                      <w:color w:val="auto"/>
                      <w:sz w:val="21"/>
                      <w:szCs w:val="21"/>
                      <w:highlight w:val="none"/>
                    </w:rPr>
                    <w:t>cr</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0.000945</w:t>
                  </w:r>
                </w:p>
              </w:tc>
              <w:tc>
                <w:tcPr>
                  <w:tcW w:w="94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0.2835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968" w:type="pct"/>
                  <w:gridSpan w:val="2"/>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sz w:val="21"/>
                      <w:szCs w:val="21"/>
                      <w:highlight w:val="none"/>
                    </w:rPr>
                  </w:pPr>
                </w:p>
              </w:tc>
              <w:tc>
                <w:tcPr>
                  <w:tcW w:w="2410"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0.000675</w:t>
                  </w:r>
                </w:p>
              </w:tc>
              <w:tc>
                <w:tcPr>
                  <w:tcW w:w="94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968" w:type="pct"/>
                  <w:gridSpan w:val="2"/>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sz w:val="21"/>
                      <w:szCs w:val="21"/>
                      <w:highlight w:val="none"/>
                    </w:rPr>
                  </w:pPr>
                </w:p>
              </w:tc>
              <w:tc>
                <w:tcPr>
                  <w:tcW w:w="2410"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0.00081</w:t>
                  </w:r>
                </w:p>
              </w:tc>
              <w:tc>
                <w:tcPr>
                  <w:tcW w:w="94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968" w:type="pct"/>
                  <w:gridSpan w:val="2"/>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sz w:val="21"/>
                      <w:szCs w:val="21"/>
                      <w:highlight w:val="none"/>
                    </w:rPr>
                  </w:pPr>
                </w:p>
              </w:tc>
              <w:tc>
                <w:tcPr>
                  <w:tcW w:w="2410"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氨氮</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0.000081</w:t>
                  </w:r>
                </w:p>
              </w:tc>
              <w:tc>
                <w:tcPr>
                  <w:tcW w:w="94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968" w:type="pct"/>
                  <w:gridSpan w:val="2"/>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sz w:val="21"/>
                      <w:szCs w:val="21"/>
                      <w:highlight w:val="none"/>
                    </w:rPr>
                  </w:pPr>
                </w:p>
              </w:tc>
              <w:tc>
                <w:tcPr>
                  <w:tcW w:w="2410"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总磷</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0.0000054</w:t>
                  </w:r>
                </w:p>
              </w:tc>
              <w:tc>
                <w:tcPr>
                  <w:tcW w:w="94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0.00162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968" w:type="pct"/>
                  <w:gridSpan w:val="2"/>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sz w:val="21"/>
                      <w:szCs w:val="21"/>
                      <w:highlight w:val="none"/>
                    </w:rPr>
                  </w:pPr>
                </w:p>
              </w:tc>
              <w:tc>
                <w:tcPr>
                  <w:tcW w:w="2410"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石油类</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0.0000216</w:t>
                  </w:r>
                </w:p>
              </w:tc>
              <w:tc>
                <w:tcPr>
                  <w:tcW w:w="94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0.00648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968" w:type="pct"/>
                  <w:gridSpan w:val="2"/>
                  <w:vMerge w:val="continue"/>
                  <w:tcBorders>
                    <w:left w:val="single" w:color="auto" w:sz="4" w:space="0"/>
                    <w:right w:val="single" w:color="auto" w:sz="4" w:space="0"/>
                  </w:tcBorders>
                  <w:vAlign w:val="center"/>
                </w:tcPr>
                <w:p>
                  <w:pPr>
                    <w:widowControl/>
                    <w:jc w:val="left"/>
                    <w:rPr>
                      <w:rFonts w:hint="default" w:ascii="Times New Roman" w:hAnsi="Times New Roman" w:cs="Times New Roman"/>
                      <w:color w:val="auto"/>
                      <w:sz w:val="21"/>
                      <w:szCs w:val="21"/>
                      <w:highlight w:val="none"/>
                    </w:rPr>
                  </w:pPr>
                </w:p>
              </w:tc>
              <w:tc>
                <w:tcPr>
                  <w:tcW w:w="2410" w:type="pct"/>
                  <w:gridSpan w:val="3"/>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总氮</w:t>
                  </w:r>
                </w:p>
              </w:tc>
              <w:tc>
                <w:tcPr>
                  <w:tcW w:w="67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0.0001215</w:t>
                  </w:r>
                </w:p>
              </w:tc>
              <w:tc>
                <w:tcPr>
                  <w:tcW w:w="945"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0.03645</w:t>
                  </w:r>
                </w:p>
              </w:tc>
            </w:tr>
          </w:tbl>
          <w:p>
            <w:pPr>
              <w:spacing w:line="360" w:lineRule="auto"/>
              <w:ind w:firstLine="482" w:firstLineChars="200"/>
              <w:rPr>
                <w:rFonts w:hint="default" w:ascii="Times New Roman" w:hAnsi="Times New Roman" w:cs="Times New Roman"/>
                <w:b/>
                <w:bCs/>
                <w:color w:val="auto"/>
                <w:kern w:val="2"/>
                <w:szCs w:val="24"/>
                <w:highlight w:val="none"/>
              </w:rPr>
            </w:pPr>
            <w:r>
              <w:rPr>
                <w:rFonts w:hint="default" w:ascii="Times New Roman" w:hAnsi="Times New Roman" w:cs="Times New Roman"/>
                <w:b/>
                <w:bCs/>
                <w:color w:val="auto"/>
                <w:kern w:val="2"/>
                <w:szCs w:val="24"/>
                <w:highlight w:val="none"/>
              </w:rPr>
              <w:t>2.3废水监测要求</w:t>
            </w:r>
          </w:p>
          <w:p>
            <w:pPr>
              <w:spacing w:line="360" w:lineRule="auto"/>
              <w:ind w:firstLine="480" w:firstLineChars="20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lang w:val="zh-CN"/>
              </w:rPr>
              <w:t>根据《排污单位自行监测技术指南总则》（HJ819-2017）执行定期监测，</w:t>
            </w:r>
            <w:r>
              <w:rPr>
                <w:rFonts w:hint="default" w:ascii="Times New Roman" w:hAnsi="Times New Roman" w:cs="Times New Roman"/>
                <w:color w:val="auto"/>
                <w:kern w:val="2"/>
                <w:szCs w:val="24"/>
                <w:highlight w:val="none"/>
              </w:rPr>
              <w:t>本项目建议的废水监测要求见下表。</w:t>
            </w:r>
          </w:p>
          <w:p>
            <w:pPr>
              <w:jc w:val="center"/>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表4-2</w:t>
            </w:r>
            <w:r>
              <w:rPr>
                <w:rFonts w:hint="eastAsia" w:cs="Times New Roman"/>
                <w:b/>
                <w:bCs/>
                <w:color w:val="auto"/>
                <w:kern w:val="2"/>
                <w:sz w:val="21"/>
                <w:szCs w:val="21"/>
                <w:highlight w:val="none"/>
                <w:lang w:val="en-US" w:eastAsia="zh-CN"/>
              </w:rPr>
              <w:t>5</w:t>
            </w:r>
            <w:r>
              <w:rPr>
                <w:rFonts w:hint="default" w:ascii="Times New Roman" w:hAnsi="Times New Roman" w:cs="Times New Roman"/>
                <w:b/>
                <w:bCs/>
                <w:color w:val="auto"/>
                <w:kern w:val="2"/>
                <w:sz w:val="21"/>
                <w:szCs w:val="21"/>
                <w:highlight w:val="none"/>
              </w:rPr>
              <w:t xml:space="preserve"> 废水环境监测要求</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0" w:type="dxa"/>
                <w:bottom w:w="0" w:type="dxa"/>
                <w:right w:w="0" w:type="dxa"/>
              </w:tblCellMar>
            </w:tblPr>
            <w:tblGrid>
              <w:gridCol w:w="440"/>
              <w:gridCol w:w="682"/>
              <w:gridCol w:w="649"/>
              <w:gridCol w:w="973"/>
              <w:gridCol w:w="1677"/>
              <w:gridCol w:w="671"/>
              <w:gridCol w:w="667"/>
              <w:gridCol w:w="820"/>
              <w:gridCol w:w="620"/>
              <w:gridCol w:w="1884"/>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42" w:type="pct"/>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排放口编号</w:t>
                  </w:r>
                </w:p>
              </w:tc>
              <w:tc>
                <w:tcPr>
                  <w:tcW w:w="375" w:type="pct"/>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污染物名称</w:t>
                  </w:r>
                </w:p>
              </w:tc>
              <w:tc>
                <w:tcPr>
                  <w:tcW w:w="357" w:type="pct"/>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监测设施</w:t>
                  </w:r>
                </w:p>
              </w:tc>
              <w:tc>
                <w:tcPr>
                  <w:tcW w:w="535" w:type="pct"/>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自动监测设施安装位置</w:t>
                  </w:r>
                </w:p>
              </w:tc>
              <w:tc>
                <w:tcPr>
                  <w:tcW w:w="922" w:type="pct"/>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自动监测设施的安装、运行、维护等相关管理要求</w:t>
                  </w:r>
                </w:p>
              </w:tc>
              <w:tc>
                <w:tcPr>
                  <w:tcW w:w="369" w:type="pct"/>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自动监测是否联网</w:t>
                  </w:r>
                </w:p>
              </w:tc>
              <w:tc>
                <w:tcPr>
                  <w:tcW w:w="367" w:type="pct"/>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自动监测仪器名称</w:t>
                  </w:r>
                </w:p>
              </w:tc>
              <w:tc>
                <w:tcPr>
                  <w:tcW w:w="451" w:type="pct"/>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手工监测采样方法及个数</w:t>
                  </w:r>
                </w:p>
              </w:tc>
              <w:tc>
                <w:tcPr>
                  <w:tcW w:w="341" w:type="pct"/>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手工监测频次</w:t>
                  </w:r>
                </w:p>
              </w:tc>
              <w:tc>
                <w:tcPr>
                  <w:tcW w:w="1036" w:type="pct"/>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手工测定方法</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42" w:type="pct"/>
                  <w:vMerge w:val="restar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污水总排口</w:t>
                  </w:r>
                </w:p>
              </w:tc>
              <w:tc>
                <w:tcPr>
                  <w:tcW w:w="375"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pH</w:t>
                  </w:r>
                </w:p>
              </w:tc>
              <w:tc>
                <w:tcPr>
                  <w:tcW w:w="357" w:type="pct"/>
                  <w:vMerge w:val="restar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sym w:font="Wingdings 2" w:char="00A3"/>
                  </w:r>
                  <w:r>
                    <w:rPr>
                      <w:rFonts w:hint="default" w:ascii="Times New Roman" w:hAnsi="Times New Roman" w:cs="Times New Roman"/>
                      <w:color w:val="auto"/>
                      <w:kern w:val="2"/>
                      <w:sz w:val="21"/>
                      <w:szCs w:val="21"/>
                      <w:highlight w:val="none"/>
                    </w:rPr>
                    <w:t>自动</w:t>
                  </w:r>
                </w:p>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sym w:font="Wingdings 2" w:char="0052"/>
                  </w:r>
                  <w:r>
                    <w:rPr>
                      <w:rFonts w:hint="default" w:ascii="Times New Roman" w:hAnsi="Times New Roman" w:cs="Times New Roman"/>
                      <w:color w:val="auto"/>
                      <w:kern w:val="2"/>
                      <w:sz w:val="21"/>
                      <w:szCs w:val="21"/>
                      <w:highlight w:val="none"/>
                    </w:rPr>
                    <w:t>手工</w:t>
                  </w:r>
                </w:p>
              </w:tc>
              <w:tc>
                <w:tcPr>
                  <w:tcW w:w="535" w:type="pct"/>
                  <w:vMerge w:val="restar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不涉及</w:t>
                  </w:r>
                </w:p>
              </w:tc>
              <w:tc>
                <w:tcPr>
                  <w:tcW w:w="922" w:type="pct"/>
                  <w:vMerge w:val="restar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不涉及</w:t>
                  </w:r>
                </w:p>
              </w:tc>
              <w:tc>
                <w:tcPr>
                  <w:tcW w:w="369" w:type="pct"/>
                  <w:vMerge w:val="restar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不涉及</w:t>
                  </w:r>
                </w:p>
              </w:tc>
              <w:tc>
                <w:tcPr>
                  <w:tcW w:w="367" w:type="pct"/>
                  <w:vMerge w:val="restar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不涉及</w:t>
                  </w:r>
                </w:p>
              </w:tc>
              <w:tc>
                <w:tcPr>
                  <w:tcW w:w="451" w:type="pct"/>
                  <w:vMerge w:val="restar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瞬时采样（三个瞬时样）</w:t>
                  </w:r>
                </w:p>
              </w:tc>
              <w:tc>
                <w:tcPr>
                  <w:tcW w:w="341" w:type="pct"/>
                  <w:vMerge w:val="restar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每季度一次</w:t>
                  </w:r>
                </w:p>
              </w:tc>
              <w:tc>
                <w:tcPr>
                  <w:tcW w:w="1036" w:type="pct"/>
                  <w:vMerge w:val="restar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参照《污水综合排</w:t>
                  </w:r>
                </w:p>
                <w:p>
                  <w:pPr>
                    <w:snapToGrid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放标准》（DB12/356-2018）中相关污染物测定方法</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42" w:type="pct"/>
                  <w:vMerge w:val="continue"/>
                  <w:vAlign w:val="center"/>
                </w:tcPr>
                <w:p>
                  <w:pPr>
                    <w:snapToGrid w:val="0"/>
                    <w:jc w:val="center"/>
                    <w:rPr>
                      <w:rFonts w:hint="default" w:ascii="Times New Roman" w:hAnsi="Times New Roman" w:cs="Times New Roman"/>
                      <w:color w:val="auto"/>
                      <w:kern w:val="2"/>
                      <w:sz w:val="21"/>
                      <w:szCs w:val="21"/>
                      <w:highlight w:val="none"/>
                    </w:rPr>
                  </w:pPr>
                </w:p>
              </w:tc>
              <w:tc>
                <w:tcPr>
                  <w:tcW w:w="375"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CODcr</w:t>
                  </w:r>
                </w:p>
              </w:tc>
              <w:tc>
                <w:tcPr>
                  <w:tcW w:w="357"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535"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922"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69"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67"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451"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41"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1036"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42" w:type="pct"/>
                  <w:vMerge w:val="continue"/>
                  <w:vAlign w:val="center"/>
                </w:tcPr>
                <w:p>
                  <w:pPr>
                    <w:snapToGrid w:val="0"/>
                    <w:jc w:val="center"/>
                    <w:rPr>
                      <w:rFonts w:hint="default" w:ascii="Times New Roman" w:hAnsi="Times New Roman" w:cs="Times New Roman"/>
                      <w:color w:val="auto"/>
                      <w:kern w:val="2"/>
                      <w:sz w:val="21"/>
                      <w:szCs w:val="21"/>
                      <w:highlight w:val="none"/>
                    </w:rPr>
                  </w:pPr>
                </w:p>
              </w:tc>
              <w:tc>
                <w:tcPr>
                  <w:tcW w:w="375"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BOD</w:t>
                  </w:r>
                  <w:r>
                    <w:rPr>
                      <w:rFonts w:hint="default" w:ascii="Times New Roman" w:hAnsi="Times New Roman" w:cs="Times New Roman"/>
                      <w:color w:val="auto"/>
                      <w:kern w:val="2"/>
                      <w:sz w:val="21"/>
                      <w:szCs w:val="21"/>
                      <w:highlight w:val="none"/>
                      <w:vertAlign w:val="subscript"/>
                    </w:rPr>
                    <w:t>5</w:t>
                  </w:r>
                </w:p>
              </w:tc>
              <w:tc>
                <w:tcPr>
                  <w:tcW w:w="357"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535"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922"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69"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67"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451"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41"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1036"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42" w:type="pct"/>
                  <w:vMerge w:val="continue"/>
                  <w:vAlign w:val="center"/>
                </w:tcPr>
                <w:p>
                  <w:pPr>
                    <w:snapToGrid w:val="0"/>
                    <w:jc w:val="center"/>
                    <w:rPr>
                      <w:rFonts w:hint="default" w:ascii="Times New Roman" w:hAnsi="Times New Roman" w:cs="Times New Roman"/>
                      <w:color w:val="auto"/>
                      <w:kern w:val="2"/>
                      <w:sz w:val="21"/>
                      <w:szCs w:val="21"/>
                      <w:highlight w:val="none"/>
                    </w:rPr>
                  </w:pPr>
                </w:p>
              </w:tc>
              <w:tc>
                <w:tcPr>
                  <w:tcW w:w="375"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SS</w:t>
                  </w:r>
                </w:p>
              </w:tc>
              <w:tc>
                <w:tcPr>
                  <w:tcW w:w="357"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535"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922"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69"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67"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451"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41"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1036"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42" w:type="pct"/>
                  <w:vMerge w:val="continue"/>
                  <w:vAlign w:val="center"/>
                </w:tcPr>
                <w:p>
                  <w:pPr>
                    <w:snapToGrid w:val="0"/>
                    <w:jc w:val="center"/>
                    <w:rPr>
                      <w:rFonts w:hint="default" w:ascii="Times New Roman" w:hAnsi="Times New Roman" w:cs="Times New Roman"/>
                      <w:color w:val="auto"/>
                      <w:kern w:val="2"/>
                      <w:sz w:val="21"/>
                      <w:szCs w:val="21"/>
                      <w:highlight w:val="none"/>
                    </w:rPr>
                  </w:pPr>
                </w:p>
              </w:tc>
              <w:tc>
                <w:tcPr>
                  <w:tcW w:w="375"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氨氮</w:t>
                  </w:r>
                </w:p>
              </w:tc>
              <w:tc>
                <w:tcPr>
                  <w:tcW w:w="357"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535"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922"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69"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67"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451"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41"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1036"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42" w:type="pct"/>
                  <w:vMerge w:val="continue"/>
                  <w:vAlign w:val="center"/>
                </w:tcPr>
                <w:p>
                  <w:pPr>
                    <w:snapToGrid w:val="0"/>
                    <w:jc w:val="center"/>
                    <w:rPr>
                      <w:rFonts w:hint="default" w:ascii="Times New Roman" w:hAnsi="Times New Roman" w:cs="Times New Roman"/>
                      <w:color w:val="auto"/>
                      <w:kern w:val="2"/>
                      <w:sz w:val="21"/>
                      <w:szCs w:val="21"/>
                      <w:highlight w:val="none"/>
                    </w:rPr>
                  </w:pPr>
                </w:p>
              </w:tc>
              <w:tc>
                <w:tcPr>
                  <w:tcW w:w="375"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总氮</w:t>
                  </w:r>
                </w:p>
              </w:tc>
              <w:tc>
                <w:tcPr>
                  <w:tcW w:w="357"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535"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922"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69"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67"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451"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41"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1036"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42" w:type="pct"/>
                  <w:vMerge w:val="continue"/>
                  <w:vAlign w:val="center"/>
                </w:tcPr>
                <w:p>
                  <w:pPr>
                    <w:snapToGrid w:val="0"/>
                    <w:jc w:val="center"/>
                    <w:rPr>
                      <w:rFonts w:hint="default" w:ascii="Times New Roman" w:hAnsi="Times New Roman" w:cs="Times New Roman"/>
                      <w:color w:val="auto"/>
                      <w:kern w:val="2"/>
                      <w:sz w:val="21"/>
                      <w:szCs w:val="21"/>
                      <w:highlight w:val="none"/>
                    </w:rPr>
                  </w:pPr>
                </w:p>
              </w:tc>
              <w:tc>
                <w:tcPr>
                  <w:tcW w:w="375"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总磷</w:t>
                  </w:r>
                </w:p>
              </w:tc>
              <w:tc>
                <w:tcPr>
                  <w:tcW w:w="357"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535"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922"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69"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67"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451"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41"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1036"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jc w:val="center"/>
              </w:trPr>
              <w:tc>
                <w:tcPr>
                  <w:tcW w:w="242" w:type="pct"/>
                  <w:vMerge w:val="continue"/>
                  <w:vAlign w:val="center"/>
                </w:tcPr>
                <w:p>
                  <w:pPr>
                    <w:snapToGrid w:val="0"/>
                    <w:jc w:val="center"/>
                    <w:rPr>
                      <w:rFonts w:hint="default" w:ascii="Times New Roman" w:hAnsi="Times New Roman" w:cs="Times New Roman"/>
                      <w:color w:val="auto"/>
                      <w:kern w:val="2"/>
                      <w:sz w:val="21"/>
                      <w:szCs w:val="21"/>
                      <w:highlight w:val="none"/>
                    </w:rPr>
                  </w:pPr>
                </w:p>
              </w:tc>
              <w:tc>
                <w:tcPr>
                  <w:tcW w:w="375"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石油类</w:t>
                  </w:r>
                </w:p>
              </w:tc>
              <w:tc>
                <w:tcPr>
                  <w:tcW w:w="357"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535"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922"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69"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67"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451"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341"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c>
                <w:tcPr>
                  <w:tcW w:w="1036" w:type="pct"/>
                  <w:vMerge w:val="continue"/>
                  <w:vAlign w:val="center"/>
                </w:tcPr>
                <w:p>
                  <w:pPr>
                    <w:snapToGrid w:val="0"/>
                    <w:jc w:val="center"/>
                    <w:rPr>
                      <w:rFonts w:hint="default" w:ascii="Times New Roman" w:hAnsi="Times New Roman" w:cs="Times New Roman"/>
                      <w:b/>
                      <w:bCs/>
                      <w:color w:val="auto"/>
                      <w:kern w:val="2"/>
                      <w:sz w:val="21"/>
                      <w:szCs w:val="21"/>
                      <w:highlight w:val="none"/>
                    </w:rPr>
                  </w:pPr>
                </w:p>
              </w:tc>
            </w:tr>
          </w:tbl>
          <w:p>
            <w:pPr>
              <w:adjustRightInd w:val="0"/>
              <w:spacing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三．声环境影响分析</w:t>
            </w:r>
          </w:p>
          <w:p>
            <w:pPr>
              <w:tabs>
                <w:tab w:val="left" w:pos="3390"/>
              </w:tabs>
              <w:adjustRightInd w:val="0"/>
              <w:snapToGrid w:val="0"/>
              <w:spacing w:line="360" w:lineRule="auto"/>
              <w:ind w:firstLine="482" w:firstLineChars="20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1.噪声源及防治措施</w:t>
            </w:r>
          </w:p>
          <w:p>
            <w:pPr>
              <w:pStyle w:val="4"/>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本项目主要噪声来源于车间内部分强噪声生产设备、车间内送风机和车间外环保设备风机运行过程中产生的噪声，其中主要噪声</w:t>
            </w:r>
            <w:r>
              <w:rPr>
                <w:rFonts w:hint="default" w:ascii="Times New Roman" w:hAnsi="Times New Roman" w:cs="Times New Roman"/>
                <w:color w:val="auto"/>
                <w:szCs w:val="24"/>
                <w:highlight w:val="none"/>
              </w:rPr>
              <w:t>源为</w:t>
            </w:r>
            <w:r>
              <w:rPr>
                <w:rFonts w:hint="eastAsia" w:cs="Times New Roman"/>
                <w:color w:val="auto"/>
                <w:szCs w:val="24"/>
                <w:highlight w:val="none"/>
                <w:lang w:val="en-US" w:eastAsia="zh-CN"/>
              </w:rPr>
              <w:t>剪板机、组立机、抛丸机、空压机、</w:t>
            </w:r>
            <w:r>
              <w:rPr>
                <w:rFonts w:hint="default" w:ascii="Times New Roman" w:hAnsi="Times New Roman" w:cs="Times New Roman"/>
                <w:color w:val="auto"/>
                <w:szCs w:val="24"/>
                <w:highlight w:val="none"/>
              </w:rPr>
              <w:t>布袋除尘器配套</w:t>
            </w:r>
            <w:r>
              <w:rPr>
                <w:rFonts w:hint="eastAsia" w:cs="Times New Roman"/>
                <w:color w:val="auto"/>
                <w:szCs w:val="24"/>
                <w:highlight w:val="none"/>
                <w:lang w:val="en-US" w:eastAsia="zh-CN"/>
              </w:rPr>
              <w:t>1#—5#</w:t>
            </w:r>
            <w:r>
              <w:rPr>
                <w:rFonts w:hint="default" w:ascii="Times New Roman" w:hAnsi="Times New Roman" w:cs="Times New Roman"/>
                <w:color w:val="auto"/>
                <w:szCs w:val="24"/>
                <w:highlight w:val="none"/>
              </w:rPr>
              <w:t>风机、喷漆房送风机</w:t>
            </w:r>
            <w:r>
              <w:rPr>
                <w:rFonts w:hint="eastAsia" w:cs="Times New Roman"/>
                <w:color w:val="auto"/>
                <w:szCs w:val="24"/>
                <w:highlight w:val="none"/>
                <w:lang w:eastAsia="zh-CN"/>
              </w:rPr>
              <w:t>、活性炭吸附、脱附催化燃烧</w:t>
            </w:r>
            <w:r>
              <w:rPr>
                <w:rFonts w:hint="default" w:ascii="Times New Roman" w:hAnsi="Times New Roman" w:cs="Times New Roman"/>
                <w:color w:val="auto"/>
                <w:szCs w:val="24"/>
                <w:highlight w:val="none"/>
              </w:rPr>
              <w:t>装置配套风机等。</w:t>
            </w:r>
            <w:r>
              <w:rPr>
                <w:rFonts w:hint="default" w:ascii="Times New Roman" w:hAnsi="Times New Roman" w:cs="Times New Roman"/>
                <w:color w:val="auto"/>
                <w:highlight w:val="none"/>
              </w:rPr>
              <w:t>本项目生产车间为钢结构，</w:t>
            </w:r>
            <w:r>
              <w:rPr>
                <w:rFonts w:hint="default" w:ascii="Times New Roman" w:hAnsi="Times New Roman" w:cs="Times New Roman"/>
                <w:color w:val="auto"/>
                <w:highlight w:val="none"/>
              </w:rPr>
              <w:t>其噪声削减能力</w:t>
            </w:r>
            <w:r>
              <w:rPr>
                <w:rFonts w:hint="eastAsia" w:cs="Times New Roman"/>
                <w:color w:val="auto"/>
                <w:highlight w:val="none"/>
                <w:lang w:val="en-US" w:eastAsia="zh-CN"/>
              </w:rPr>
              <w:t>按15</w:t>
            </w:r>
            <w:r>
              <w:rPr>
                <w:rFonts w:hint="default" w:ascii="Times New Roman" w:hAnsi="Times New Roman" w:cs="Times New Roman"/>
                <w:color w:val="auto"/>
                <w:highlight w:val="none"/>
              </w:rPr>
              <w:t>dB(A</w:t>
            </w:r>
            <w:r>
              <w:rPr>
                <w:rFonts w:hint="eastAsia" w:cs="Times New Roman"/>
                <w:color w:val="auto"/>
                <w:highlight w:val="none"/>
                <w:lang w:eastAsia="zh-CN"/>
              </w:rPr>
              <w:t>）</w:t>
            </w:r>
            <w:r>
              <w:rPr>
                <w:rFonts w:hint="eastAsia" w:cs="Times New Roman"/>
                <w:color w:val="auto"/>
                <w:highlight w:val="none"/>
                <w:lang w:val="en-US" w:eastAsia="zh-CN"/>
              </w:rPr>
              <w:t>计</w:t>
            </w:r>
            <w:r>
              <w:rPr>
                <w:rFonts w:hint="default" w:ascii="Times New Roman" w:hAnsi="Times New Roman" w:cs="Times New Roman"/>
                <w:color w:val="auto"/>
                <w:highlight w:val="none"/>
              </w:rPr>
              <w:t>，减振对噪声削减能力为5dB(A)。</w:t>
            </w:r>
          </w:p>
          <w:p>
            <w:pPr>
              <w:pStyle w:val="4"/>
              <w:adjustRightInd w:val="0"/>
              <w:snapToGrid w:val="0"/>
              <w:spacing w:line="360" w:lineRule="auto"/>
              <w:ind w:firstLine="480" w:firstLineChars="200"/>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szCs w:val="24"/>
                <w:highlight w:val="none"/>
              </w:rPr>
              <w:t>布袋除尘器配套</w:t>
            </w:r>
            <w:r>
              <w:rPr>
                <w:rFonts w:hint="eastAsia" w:cs="Times New Roman"/>
                <w:color w:val="auto"/>
                <w:szCs w:val="24"/>
                <w:highlight w:val="none"/>
                <w:lang w:val="en-US" w:eastAsia="zh-CN"/>
              </w:rPr>
              <w:t>1#—5#</w:t>
            </w:r>
            <w:r>
              <w:rPr>
                <w:rFonts w:hint="default" w:ascii="Times New Roman" w:hAnsi="Times New Roman" w:cs="Times New Roman"/>
                <w:color w:val="auto"/>
                <w:szCs w:val="24"/>
                <w:highlight w:val="none"/>
              </w:rPr>
              <w:t>风机、</w:t>
            </w:r>
            <w:r>
              <w:rPr>
                <w:rFonts w:hint="eastAsia" w:cs="Times New Roman"/>
                <w:color w:val="auto"/>
                <w:szCs w:val="24"/>
                <w:highlight w:val="none"/>
                <w:lang w:eastAsia="zh-CN"/>
              </w:rPr>
              <w:t>活性炭吸附、脱附催化燃烧</w:t>
            </w:r>
            <w:r>
              <w:rPr>
                <w:rFonts w:hint="default" w:ascii="Times New Roman" w:hAnsi="Times New Roman" w:cs="Times New Roman"/>
                <w:color w:val="auto"/>
                <w:szCs w:val="24"/>
                <w:highlight w:val="none"/>
              </w:rPr>
              <w:t>装置配套风机</w:t>
            </w:r>
            <w:r>
              <w:rPr>
                <w:rFonts w:hint="default" w:ascii="Times New Roman" w:hAnsi="Times New Roman" w:cs="Times New Roman"/>
                <w:color w:val="auto"/>
                <w:highlight w:val="none"/>
              </w:rPr>
              <w:t>位于室外，采取选用低噪声设备、安装隔声罩并内附吸音棉、出风管道接口采用软管相连、加装减振垫等措施，其噪声削减能力以</w:t>
            </w:r>
            <w:r>
              <w:rPr>
                <w:rFonts w:hint="eastAsia" w:cs="Times New Roman"/>
                <w:color w:val="auto"/>
                <w:highlight w:val="none"/>
                <w:lang w:val="en-US" w:eastAsia="zh-CN"/>
              </w:rPr>
              <w:t>20</w:t>
            </w:r>
            <w:r>
              <w:rPr>
                <w:rFonts w:hint="default" w:ascii="Times New Roman" w:hAnsi="Times New Roman" w:cs="Times New Roman"/>
                <w:color w:val="auto"/>
                <w:highlight w:val="none"/>
              </w:rPr>
              <w:t>dB(A</w:t>
            </w:r>
            <w:r>
              <w:rPr>
                <w:rFonts w:hint="eastAsia" w:cs="Times New Roman"/>
                <w:color w:val="auto"/>
                <w:highlight w:val="none"/>
                <w:lang w:eastAsia="zh-CN"/>
              </w:rPr>
              <w:t>）</w:t>
            </w:r>
            <w:r>
              <w:rPr>
                <w:rFonts w:hint="default" w:ascii="Times New Roman" w:hAnsi="Times New Roman" w:cs="Times New Roman"/>
                <w:color w:val="auto"/>
                <w:highlight w:val="none"/>
              </w:rPr>
              <w:t>进行计算。</w:t>
            </w:r>
            <w:r>
              <w:rPr>
                <w:rFonts w:hint="eastAsia" w:ascii="Times New Roman" w:hAnsi="Times New Roman" w:eastAsia="宋体" w:cs="Times New Roman"/>
                <w:color w:val="auto"/>
                <w:highlight w:val="none"/>
                <w:lang w:val="en-US" w:eastAsia="zh-CN"/>
              </w:rPr>
              <w:t>本项目夜间仅喷漆房送风机、</w:t>
            </w:r>
            <w:r>
              <w:rPr>
                <w:rFonts w:hint="eastAsia" w:cs="Times New Roman"/>
                <w:color w:val="auto"/>
                <w:highlight w:val="none"/>
                <w:lang w:eastAsia="zh-CN"/>
              </w:rPr>
              <w:t>活性炭吸附、脱附催化燃烧</w:t>
            </w:r>
            <w:r>
              <w:rPr>
                <w:rFonts w:hint="default" w:ascii="Times New Roman" w:hAnsi="Times New Roman" w:eastAsia="宋体" w:cs="Times New Roman"/>
                <w:color w:val="auto"/>
                <w:highlight w:val="none"/>
              </w:rPr>
              <w:t>装置配套风机</w:t>
            </w:r>
            <w:r>
              <w:rPr>
                <w:rFonts w:hint="eastAsia" w:ascii="Times New Roman" w:hAnsi="Times New Roman" w:eastAsia="宋体" w:cs="Times New Roman"/>
                <w:color w:val="auto"/>
                <w:highlight w:val="none"/>
                <w:lang w:val="en-US" w:eastAsia="zh-CN"/>
              </w:rPr>
              <w:t>运行。</w:t>
            </w:r>
            <w:r>
              <w:rPr>
                <w:rFonts w:hint="default" w:ascii="Times New Roman" w:hAnsi="Times New Roman" w:cs="Times New Roman"/>
                <w:color w:val="auto"/>
                <w:highlight w:val="none"/>
              </w:rPr>
              <w:t>本项目主要噪声源汇总见下表所示。</w:t>
            </w:r>
          </w:p>
          <w:p>
            <w:pPr>
              <w:pStyle w:val="104"/>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表4-2</w:t>
            </w:r>
            <w:r>
              <w:rPr>
                <w:rFonts w:hint="eastAsia" w:cs="Times New Roman"/>
                <w:bCs/>
                <w:color w:val="auto"/>
                <w:kern w:val="2"/>
                <w:sz w:val="21"/>
                <w:szCs w:val="21"/>
                <w:highlight w:val="none"/>
                <w:lang w:val="en-US" w:eastAsia="zh-CN"/>
              </w:rPr>
              <w:t>6</w:t>
            </w:r>
            <w:r>
              <w:rPr>
                <w:rFonts w:hint="default" w:ascii="Times New Roman" w:hAnsi="Times New Roman" w:cs="Times New Roman"/>
                <w:bCs/>
                <w:color w:val="auto"/>
                <w:kern w:val="2"/>
                <w:sz w:val="21"/>
                <w:szCs w:val="21"/>
                <w:highlight w:val="none"/>
              </w:rPr>
              <w:t xml:space="preserve">  室内噪声源强调查清单</w:t>
            </w:r>
          </w:p>
          <w:tbl>
            <w:tblPr>
              <w:tblStyle w:val="29"/>
              <w:tblW w:w="9078" w:type="dxa"/>
              <w:tblInd w:w="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386"/>
              <w:gridCol w:w="312"/>
              <w:gridCol w:w="583"/>
              <w:gridCol w:w="717"/>
              <w:gridCol w:w="395"/>
              <w:gridCol w:w="717"/>
              <w:gridCol w:w="582"/>
              <w:gridCol w:w="395"/>
              <w:gridCol w:w="395"/>
              <w:gridCol w:w="404"/>
              <w:gridCol w:w="520"/>
              <w:gridCol w:w="520"/>
              <w:gridCol w:w="598"/>
              <w:gridCol w:w="635"/>
              <w:gridCol w:w="511"/>
              <w:gridCol w:w="511"/>
              <w:gridCol w:w="8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c>
                <w:tcPr>
                  <w:tcW w:w="213"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序号</w:t>
                  </w:r>
                </w:p>
              </w:tc>
              <w:tc>
                <w:tcPr>
                  <w:tcW w:w="172"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建筑物名称</w:t>
                  </w:r>
                </w:p>
              </w:tc>
              <w:tc>
                <w:tcPr>
                  <w:tcW w:w="321"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声源名称</w:t>
                  </w:r>
                </w:p>
              </w:tc>
              <w:tc>
                <w:tcPr>
                  <w:tcW w:w="394" w:type="pc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单台设备声源源强</w:t>
                  </w:r>
                </w:p>
              </w:tc>
              <w:tc>
                <w:tcPr>
                  <w:tcW w:w="217"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设备数量</w:t>
                  </w:r>
                </w:p>
              </w:tc>
              <w:tc>
                <w:tcPr>
                  <w:tcW w:w="394" w:type="pc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复合源强dB(A)</w:t>
                  </w:r>
                </w:p>
              </w:tc>
              <w:tc>
                <w:tcPr>
                  <w:tcW w:w="320"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声源控制措施</w:t>
                  </w:r>
                </w:p>
              </w:tc>
              <w:tc>
                <w:tcPr>
                  <w:tcW w:w="656" w:type="pct"/>
                  <w:gridSpan w:val="3"/>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*空间相对位置/m</w:t>
                  </w:r>
                </w:p>
              </w:tc>
              <w:tc>
                <w:tcPr>
                  <w:tcW w:w="286" w:type="pct"/>
                  <w:vMerge w:val="restar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18"/>
                      <w:szCs w:val="18"/>
                      <w:highlight w:val="none"/>
                      <w:lang w:val="en-US" w:eastAsia="zh-CN"/>
                    </w:rPr>
                  </w:pPr>
                  <w:r>
                    <w:rPr>
                      <w:rFonts w:hint="eastAsia" w:cs="Times New Roman"/>
                      <w:color w:val="auto"/>
                      <w:kern w:val="44"/>
                      <w:sz w:val="18"/>
                      <w:szCs w:val="18"/>
                      <w:highlight w:val="none"/>
                      <w:lang w:val="en-US" w:eastAsia="zh-CN"/>
                    </w:rPr>
                    <w:t>方位</w:t>
                  </w:r>
                </w:p>
              </w:tc>
              <w:tc>
                <w:tcPr>
                  <w:tcW w:w="286"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距室内边界距离/m</w:t>
                  </w:r>
                </w:p>
              </w:tc>
              <w:tc>
                <w:tcPr>
                  <w:tcW w:w="329"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室内边界声级/dB（A）</w:t>
                  </w:r>
                </w:p>
              </w:tc>
              <w:tc>
                <w:tcPr>
                  <w:tcW w:w="349"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运行时段</w:t>
                  </w:r>
                </w:p>
              </w:tc>
              <w:tc>
                <w:tcPr>
                  <w:tcW w:w="281"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建筑物插入损失/ dB（A）</w:t>
                  </w:r>
                </w:p>
              </w:tc>
              <w:tc>
                <w:tcPr>
                  <w:tcW w:w="774" w:type="pct"/>
                  <w:gridSpan w:val="2"/>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建筑物外噪声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50"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声压级/距声源距离dB（A）/m</w:t>
                  </w:r>
                </w:p>
              </w:tc>
              <w:tc>
                <w:tcPr>
                  <w:tcW w:w="217"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394" w:type="pc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声压级/距声源距离dB（A）/m</w:t>
                  </w:r>
                </w:p>
              </w:tc>
              <w:tc>
                <w:tcPr>
                  <w:tcW w:w="320"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217" w:type="pc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X</w:t>
                  </w:r>
                </w:p>
              </w:tc>
              <w:tc>
                <w:tcPr>
                  <w:tcW w:w="217" w:type="pc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Y</w:t>
                  </w:r>
                </w:p>
              </w:tc>
              <w:tc>
                <w:tcPr>
                  <w:tcW w:w="221" w:type="pc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Z</w:t>
                  </w:r>
                </w:p>
              </w:tc>
              <w:tc>
                <w:tcPr>
                  <w:tcW w:w="286"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286"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329"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349"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281"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281" w:type="pc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声压级/ dB（A）</w:t>
                  </w:r>
                </w:p>
              </w:tc>
              <w:tc>
                <w:tcPr>
                  <w:tcW w:w="493" w:type="pct"/>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r>
                    <w:rPr>
                      <w:rFonts w:hint="default" w:ascii="Times New Roman" w:hAnsi="Times New Roman" w:cs="Times New Roman"/>
                      <w:color w:val="auto"/>
                      <w:kern w:val="44"/>
                      <w:sz w:val="18"/>
                      <w:szCs w:val="18"/>
                      <w:highlight w:val="none"/>
                    </w:rPr>
                    <w:t>建筑物外距离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213" w:type="pct"/>
                  <w:vMerge w:val="restar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1</w:t>
                  </w:r>
                </w:p>
              </w:tc>
              <w:tc>
                <w:tcPr>
                  <w:tcW w:w="172" w:type="pct"/>
                  <w:vMerge w:val="restar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车间内</w:t>
                  </w:r>
                </w:p>
              </w:tc>
              <w:tc>
                <w:tcPr>
                  <w:tcW w:w="321"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default" w:ascii="Times New Roman" w:hAnsi="Times New Roman" w:eastAsia="宋体" w:cs="Times New Roman"/>
                      <w:b w:val="0"/>
                      <w:color w:val="auto"/>
                      <w:sz w:val="18"/>
                      <w:szCs w:val="18"/>
                      <w:highlight w:val="none"/>
                      <w:lang w:val="en-US" w:eastAsia="zh-CN"/>
                    </w:rPr>
                    <w:t>喷漆房送风机</w:t>
                  </w:r>
                </w:p>
              </w:tc>
              <w:tc>
                <w:tcPr>
                  <w:tcW w:w="394" w:type="pct"/>
                  <w:vMerge w:val="restart"/>
                  <w:tcBorders>
                    <w:tl2br w:val="nil"/>
                    <w:tr2bl w:val="nil"/>
                  </w:tcBorders>
                  <w:vAlign w:val="center"/>
                </w:tcPr>
                <w:p>
                  <w:pPr>
                    <w:adjustRightInd w:val="0"/>
                    <w:jc w:val="center"/>
                    <w:textAlignment w:val="baseline"/>
                    <w:rPr>
                      <w:rFonts w:hint="default" w:ascii="Times New Roman" w:hAnsi="Times New Roman" w:eastAsia="宋体" w:cs="Times New Roman"/>
                      <w:color w:val="auto"/>
                      <w:kern w:val="44"/>
                      <w:sz w:val="18"/>
                      <w:szCs w:val="18"/>
                      <w:highlight w:val="none"/>
                      <w:lang w:val="en-US" w:eastAsia="zh-CN"/>
                    </w:rPr>
                  </w:pPr>
                  <w:r>
                    <w:rPr>
                      <w:rFonts w:hint="eastAsia" w:cs="Times New Roman"/>
                      <w:color w:val="auto"/>
                      <w:kern w:val="44"/>
                      <w:sz w:val="18"/>
                      <w:szCs w:val="18"/>
                      <w:highlight w:val="none"/>
                      <w:lang w:val="en-US" w:eastAsia="zh-CN"/>
                    </w:rPr>
                    <w:t>85</w:t>
                  </w:r>
                </w:p>
              </w:tc>
              <w:tc>
                <w:tcPr>
                  <w:tcW w:w="217" w:type="pct"/>
                  <w:vMerge w:val="restart"/>
                  <w:tcBorders>
                    <w:tl2br w:val="nil"/>
                    <w:tr2bl w:val="nil"/>
                  </w:tcBorders>
                  <w:vAlign w:val="center"/>
                </w:tcPr>
                <w:p>
                  <w:pPr>
                    <w:adjustRightInd w:val="0"/>
                    <w:jc w:val="center"/>
                    <w:textAlignment w:val="baseline"/>
                    <w:rPr>
                      <w:rFonts w:hint="eastAsia" w:ascii="Times New Roman" w:hAnsi="Times New Roman" w:eastAsia="宋体" w:cs="Times New Roman"/>
                      <w:b w:val="0"/>
                      <w:bCs/>
                      <w:color w:val="auto"/>
                      <w:sz w:val="18"/>
                      <w:szCs w:val="18"/>
                      <w:highlight w:val="none"/>
                      <w:lang w:val="en-US" w:eastAsia="zh-CN" w:bidi="ar-SA"/>
                    </w:rPr>
                  </w:pPr>
                  <w:r>
                    <w:rPr>
                      <w:rFonts w:hint="eastAsia" w:ascii="Times New Roman" w:hAnsi="Times New Roman" w:eastAsia="宋体" w:cs="Times New Roman"/>
                      <w:b w:val="0"/>
                      <w:bCs/>
                      <w:color w:val="auto"/>
                      <w:sz w:val="18"/>
                      <w:szCs w:val="18"/>
                      <w:highlight w:val="none"/>
                      <w:lang w:val="en-US" w:eastAsia="zh-CN" w:bidi="ar-SA"/>
                    </w:rPr>
                    <w:t>1</w:t>
                  </w:r>
                </w:p>
              </w:tc>
              <w:tc>
                <w:tcPr>
                  <w:tcW w:w="394" w:type="pct"/>
                  <w:vMerge w:val="restart"/>
                  <w:tcBorders>
                    <w:tl2br w:val="nil"/>
                    <w:tr2bl w:val="nil"/>
                  </w:tcBorders>
                  <w:vAlign w:val="center"/>
                </w:tcPr>
                <w:p>
                  <w:pPr>
                    <w:adjustRightInd w:val="0"/>
                    <w:jc w:val="center"/>
                    <w:textAlignment w:val="baseline"/>
                    <w:rPr>
                      <w:rFonts w:hint="default" w:ascii="Times New Roman" w:hAnsi="Times New Roman" w:eastAsia="宋体" w:cs="Times New Roman"/>
                      <w:b w:val="0"/>
                      <w:bCs/>
                      <w:color w:val="auto"/>
                      <w:sz w:val="18"/>
                      <w:szCs w:val="18"/>
                      <w:highlight w:val="none"/>
                      <w:lang w:val="en-US" w:eastAsia="zh-CN" w:bidi="ar-SA"/>
                    </w:rPr>
                  </w:pPr>
                  <w:r>
                    <w:rPr>
                      <w:rFonts w:hint="eastAsia" w:ascii="Times New Roman" w:hAnsi="Times New Roman" w:eastAsia="宋体" w:cs="Times New Roman"/>
                      <w:b w:val="0"/>
                      <w:bCs/>
                      <w:color w:val="auto"/>
                      <w:sz w:val="18"/>
                      <w:szCs w:val="18"/>
                      <w:highlight w:val="none"/>
                      <w:lang w:val="en-US" w:eastAsia="zh-CN" w:bidi="ar-SA"/>
                    </w:rPr>
                    <w:t>85/1</w:t>
                  </w:r>
                </w:p>
              </w:tc>
              <w:tc>
                <w:tcPr>
                  <w:tcW w:w="320" w:type="pct"/>
                  <w:vMerge w:val="restart"/>
                  <w:tcBorders>
                    <w:tl2br w:val="nil"/>
                    <w:tr2bl w:val="nil"/>
                  </w:tcBorders>
                  <w:vAlign w:val="center"/>
                </w:tcPr>
                <w:p>
                  <w:pPr>
                    <w:pStyle w:val="104"/>
                    <w:jc w:val="both"/>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建筑隔</w:t>
                  </w:r>
                </w:p>
                <w:p>
                  <w:pPr>
                    <w:pStyle w:val="104"/>
                    <w:jc w:val="both"/>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声、选取低噪声设备、并在机座上均安装减振装置。</w:t>
                  </w:r>
                </w:p>
              </w:tc>
              <w:tc>
                <w:tcPr>
                  <w:tcW w:w="217" w:type="pct"/>
                  <w:vMerge w:val="restart"/>
                  <w:tcBorders>
                    <w:tl2br w:val="nil"/>
                    <w:tr2bl w:val="nil"/>
                  </w:tcBorders>
                  <w:vAlign w:val="center"/>
                </w:tcPr>
                <w:p>
                  <w:pPr>
                    <w:adjustRightInd w:val="0"/>
                    <w:jc w:val="center"/>
                    <w:textAlignment w:val="baseline"/>
                    <w:rPr>
                      <w:rFonts w:hint="default" w:ascii="Times New Roman" w:hAnsi="Times New Roman" w:eastAsia="宋体" w:cs="Times New Roman"/>
                      <w:color w:val="auto"/>
                      <w:kern w:val="44"/>
                      <w:sz w:val="18"/>
                      <w:szCs w:val="18"/>
                      <w:highlight w:val="none"/>
                      <w:lang w:val="en-US" w:eastAsia="zh-CN"/>
                    </w:rPr>
                  </w:pPr>
                  <w:r>
                    <w:rPr>
                      <w:rFonts w:hint="eastAsia" w:cs="Times New Roman"/>
                      <w:color w:val="auto"/>
                      <w:kern w:val="44"/>
                      <w:sz w:val="18"/>
                      <w:szCs w:val="18"/>
                      <w:highlight w:val="none"/>
                      <w:lang w:val="en-US" w:eastAsia="zh-CN"/>
                    </w:rPr>
                    <w:t>210</w:t>
                  </w:r>
                </w:p>
              </w:tc>
              <w:tc>
                <w:tcPr>
                  <w:tcW w:w="217" w:type="pct"/>
                  <w:vMerge w:val="restart"/>
                  <w:tcBorders>
                    <w:tl2br w:val="nil"/>
                    <w:tr2bl w:val="nil"/>
                  </w:tcBorders>
                  <w:vAlign w:val="center"/>
                </w:tcPr>
                <w:p>
                  <w:pPr>
                    <w:adjustRightInd w:val="0"/>
                    <w:jc w:val="center"/>
                    <w:textAlignment w:val="baseline"/>
                    <w:rPr>
                      <w:rFonts w:hint="default" w:ascii="Times New Roman" w:hAnsi="Times New Roman" w:eastAsia="宋体" w:cs="Times New Roman"/>
                      <w:color w:val="auto"/>
                      <w:kern w:val="44"/>
                      <w:sz w:val="18"/>
                      <w:szCs w:val="18"/>
                      <w:highlight w:val="none"/>
                      <w:lang w:val="en-US" w:eastAsia="zh-CN"/>
                    </w:rPr>
                  </w:pPr>
                  <w:r>
                    <w:rPr>
                      <w:rFonts w:hint="eastAsia" w:cs="Times New Roman"/>
                      <w:color w:val="auto"/>
                      <w:kern w:val="44"/>
                      <w:sz w:val="18"/>
                      <w:szCs w:val="18"/>
                      <w:highlight w:val="none"/>
                      <w:lang w:val="en-US" w:eastAsia="zh-CN"/>
                    </w:rPr>
                    <w:t>65</w:t>
                  </w:r>
                </w:p>
              </w:tc>
              <w:tc>
                <w:tcPr>
                  <w:tcW w:w="221" w:type="pct"/>
                  <w:vMerge w:val="restar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18"/>
                      <w:szCs w:val="18"/>
                      <w:highlight w:val="none"/>
                      <w:lang w:val="en-US" w:eastAsia="zh-CN"/>
                    </w:rPr>
                  </w:pPr>
                  <w:r>
                    <w:rPr>
                      <w:rFonts w:hint="eastAsia" w:cs="Times New Roman"/>
                      <w:color w:val="auto"/>
                      <w:kern w:val="44"/>
                      <w:sz w:val="18"/>
                      <w:szCs w:val="18"/>
                      <w:highlight w:val="none"/>
                      <w:lang w:val="en-US" w:eastAsia="zh-CN"/>
                    </w:rPr>
                    <w:t>3</w:t>
                  </w:r>
                </w:p>
              </w:tc>
              <w:tc>
                <w:tcPr>
                  <w:tcW w:w="286" w:type="pct"/>
                  <w:tcBorders>
                    <w:tl2br w:val="nil"/>
                    <w:tr2bl w:val="nil"/>
                  </w:tcBorders>
                  <w:vAlign w:val="center"/>
                </w:tcPr>
                <w:p>
                  <w:pPr>
                    <w:adjustRightInd w:val="0"/>
                    <w:jc w:val="center"/>
                    <w:textAlignment w:val="baseline"/>
                    <w:rPr>
                      <w:rFonts w:hint="eastAsia" w:eastAsia="宋体"/>
                      <w:color w:val="auto"/>
                      <w:sz w:val="18"/>
                      <w:szCs w:val="18"/>
                      <w:highlight w:val="none"/>
                      <w:lang w:val="en-US" w:eastAsia="zh-CN"/>
                    </w:rPr>
                  </w:pPr>
                  <w:r>
                    <w:rPr>
                      <w:rFonts w:hint="eastAsia"/>
                      <w:color w:val="auto"/>
                      <w:sz w:val="18"/>
                      <w:szCs w:val="18"/>
                      <w:highlight w:val="none"/>
                      <w:lang w:val="en-US" w:eastAsia="zh-CN"/>
                    </w:rPr>
                    <w:t>东</w:t>
                  </w:r>
                </w:p>
              </w:tc>
              <w:tc>
                <w:tcPr>
                  <w:tcW w:w="286"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140</w:t>
                  </w:r>
                </w:p>
              </w:tc>
              <w:tc>
                <w:tcPr>
                  <w:tcW w:w="329"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42</w:t>
                  </w:r>
                </w:p>
              </w:tc>
              <w:tc>
                <w:tcPr>
                  <w:tcW w:w="349" w:type="pct"/>
                  <w:vMerge w:val="restart"/>
                  <w:tcBorders>
                    <w:tl2br w:val="nil"/>
                    <w:tr2bl w:val="nil"/>
                  </w:tcBorders>
                  <w:vAlign w:val="center"/>
                </w:tcPr>
                <w:p>
                  <w:pPr>
                    <w:adjustRightInd w:val="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20h/d</w:t>
                  </w:r>
                </w:p>
              </w:tc>
              <w:tc>
                <w:tcPr>
                  <w:tcW w:w="281" w:type="pct"/>
                  <w:vMerge w:val="restart"/>
                  <w:tcBorders>
                    <w:tl2br w:val="nil"/>
                    <w:tr2bl w:val="nil"/>
                  </w:tcBorders>
                  <w:vAlign w:val="center"/>
                </w:tcPr>
                <w:p>
                  <w:pPr>
                    <w:adjustRightInd w:val="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26</w:t>
                  </w: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16</w:t>
                  </w:r>
                </w:p>
              </w:tc>
              <w:tc>
                <w:tcPr>
                  <w:tcW w:w="493" w:type="pct"/>
                  <w:tcBorders>
                    <w:tl2br w:val="nil"/>
                    <w:tr2bl w:val="nil"/>
                  </w:tcBorders>
                  <w:vAlign w:val="center"/>
                </w:tcPr>
                <w:p>
                  <w:pPr>
                    <w:pStyle w:val="104"/>
                    <w:rPr>
                      <w:rFonts w:hint="default" w:ascii="Times New Roman" w:hAnsi="Times New Roman" w:cs="Times New Roman"/>
                      <w:color w:val="auto"/>
                      <w:kern w:val="44"/>
                      <w:sz w:val="18"/>
                      <w:szCs w:val="18"/>
                      <w:highlight w:val="none"/>
                    </w:rPr>
                  </w:pPr>
                  <w:r>
                    <w:rPr>
                      <w:rFonts w:hint="default" w:ascii="Times New Roman" w:hAnsi="Times New Roman" w:cs="Times New Roman"/>
                      <w:b w:val="0"/>
                      <w:color w:val="auto"/>
                      <w:sz w:val="18"/>
                      <w:szCs w:val="18"/>
                      <w:highlight w:val="none"/>
                    </w:rPr>
                    <w:t>东厂界</w:t>
                  </w:r>
                  <w:r>
                    <w:rPr>
                      <w:rFonts w:hint="eastAsia" w:cs="Times New Roman"/>
                      <w:b w:val="0"/>
                      <w:color w:val="auto"/>
                      <w:sz w:val="18"/>
                      <w:szCs w:val="18"/>
                      <w:highlight w:val="none"/>
                      <w:lang w:val="en-US" w:eastAsia="zh-CN"/>
                    </w:rPr>
                    <w:t>8</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18"/>
                      <w:szCs w:val="18"/>
                      <w:highlight w:val="none"/>
                    </w:rPr>
                  </w:pPr>
                </w:p>
              </w:tc>
              <w:tc>
                <w:tcPr>
                  <w:tcW w:w="217"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394"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18"/>
                      <w:szCs w:val="18"/>
                      <w:highlight w:val="none"/>
                    </w:rPr>
                  </w:pPr>
                </w:p>
              </w:tc>
              <w:tc>
                <w:tcPr>
                  <w:tcW w:w="320"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217"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18"/>
                      <w:szCs w:val="18"/>
                      <w:highlight w:val="none"/>
                    </w:rPr>
                  </w:pPr>
                </w:p>
              </w:tc>
              <w:tc>
                <w:tcPr>
                  <w:tcW w:w="217"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18"/>
                      <w:szCs w:val="18"/>
                      <w:highlight w:val="none"/>
                    </w:rPr>
                  </w:pPr>
                </w:p>
              </w:tc>
              <w:tc>
                <w:tcPr>
                  <w:tcW w:w="221"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18"/>
                      <w:szCs w:val="18"/>
                      <w:highlight w:val="none"/>
                    </w:rPr>
                  </w:pPr>
                </w:p>
              </w:tc>
              <w:tc>
                <w:tcPr>
                  <w:tcW w:w="286" w:type="pct"/>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南</w:t>
                  </w:r>
                </w:p>
              </w:tc>
              <w:tc>
                <w:tcPr>
                  <w:tcW w:w="286"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37</w:t>
                  </w:r>
                </w:p>
              </w:tc>
              <w:tc>
                <w:tcPr>
                  <w:tcW w:w="329"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54</w:t>
                  </w:r>
                </w:p>
              </w:tc>
              <w:tc>
                <w:tcPr>
                  <w:tcW w:w="349"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281"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28</w:t>
                  </w:r>
                </w:p>
              </w:tc>
              <w:tc>
                <w:tcPr>
                  <w:tcW w:w="493" w:type="pct"/>
                  <w:tcBorders>
                    <w:tl2br w:val="nil"/>
                    <w:tr2bl w:val="nil"/>
                  </w:tcBorders>
                  <w:vAlign w:val="center"/>
                </w:tcPr>
                <w:p>
                  <w:pPr>
                    <w:pStyle w:val="104"/>
                    <w:rPr>
                      <w:rFonts w:hint="default" w:ascii="Times New Roman" w:hAnsi="Times New Roman" w:cs="Times New Roman"/>
                      <w:color w:val="auto"/>
                      <w:kern w:val="44"/>
                      <w:sz w:val="18"/>
                      <w:szCs w:val="18"/>
                      <w:highlight w:val="none"/>
                    </w:rPr>
                  </w:pPr>
                  <w:r>
                    <w:rPr>
                      <w:rFonts w:hint="default" w:ascii="Times New Roman" w:hAnsi="Times New Roman" w:cs="Times New Roman"/>
                      <w:b w:val="0"/>
                      <w:color w:val="auto"/>
                      <w:sz w:val="18"/>
                      <w:szCs w:val="18"/>
                      <w:highlight w:val="none"/>
                    </w:rPr>
                    <w:t>南厂</w:t>
                  </w:r>
                  <w:r>
                    <w:rPr>
                      <w:rFonts w:hint="eastAsia" w:cs="Times New Roman"/>
                      <w:b w:val="0"/>
                      <w:color w:val="auto"/>
                      <w:sz w:val="18"/>
                      <w:szCs w:val="18"/>
                      <w:highlight w:val="none"/>
                      <w:lang w:val="en-US" w:eastAsia="zh-CN"/>
                    </w:rPr>
                    <w:t>40</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18"/>
                      <w:szCs w:val="18"/>
                      <w:highlight w:val="none"/>
                    </w:rPr>
                  </w:pPr>
                </w:p>
              </w:tc>
              <w:tc>
                <w:tcPr>
                  <w:tcW w:w="217"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394"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18"/>
                      <w:szCs w:val="18"/>
                      <w:highlight w:val="none"/>
                    </w:rPr>
                  </w:pPr>
                </w:p>
              </w:tc>
              <w:tc>
                <w:tcPr>
                  <w:tcW w:w="320"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217"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18"/>
                      <w:szCs w:val="18"/>
                      <w:highlight w:val="none"/>
                    </w:rPr>
                  </w:pPr>
                </w:p>
              </w:tc>
              <w:tc>
                <w:tcPr>
                  <w:tcW w:w="217"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18"/>
                      <w:szCs w:val="18"/>
                      <w:highlight w:val="none"/>
                    </w:rPr>
                  </w:pPr>
                </w:p>
              </w:tc>
              <w:tc>
                <w:tcPr>
                  <w:tcW w:w="221"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18"/>
                      <w:szCs w:val="18"/>
                      <w:highlight w:val="none"/>
                    </w:rPr>
                  </w:pPr>
                </w:p>
              </w:tc>
              <w:tc>
                <w:tcPr>
                  <w:tcW w:w="286" w:type="pct"/>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西</w:t>
                  </w:r>
                </w:p>
              </w:tc>
              <w:tc>
                <w:tcPr>
                  <w:tcW w:w="286"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210</w:t>
                  </w:r>
                </w:p>
              </w:tc>
              <w:tc>
                <w:tcPr>
                  <w:tcW w:w="329"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39</w:t>
                  </w:r>
                </w:p>
              </w:tc>
              <w:tc>
                <w:tcPr>
                  <w:tcW w:w="349"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281"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13</w:t>
                  </w:r>
                </w:p>
              </w:tc>
              <w:tc>
                <w:tcPr>
                  <w:tcW w:w="493" w:type="pct"/>
                  <w:tcBorders>
                    <w:tl2br w:val="nil"/>
                    <w:tr2bl w:val="nil"/>
                  </w:tcBorders>
                  <w:vAlign w:val="center"/>
                </w:tcPr>
                <w:p>
                  <w:pPr>
                    <w:pStyle w:val="104"/>
                    <w:rPr>
                      <w:rFonts w:hint="default" w:ascii="Times New Roman" w:hAnsi="Times New Roman" w:cs="Times New Roman"/>
                      <w:color w:val="auto"/>
                      <w:kern w:val="44"/>
                      <w:sz w:val="18"/>
                      <w:szCs w:val="18"/>
                      <w:highlight w:val="none"/>
                    </w:rPr>
                  </w:pPr>
                  <w:r>
                    <w:rPr>
                      <w:rFonts w:hint="eastAsia" w:cs="Times New Roman"/>
                      <w:b w:val="0"/>
                      <w:color w:val="auto"/>
                      <w:sz w:val="18"/>
                      <w:szCs w:val="18"/>
                      <w:highlight w:val="none"/>
                      <w:lang w:val="en-US" w:eastAsia="zh-CN"/>
                    </w:rPr>
                    <w:t>西厂42m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28"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18"/>
                      <w:szCs w:val="18"/>
                      <w:highlight w:val="none"/>
                    </w:rPr>
                  </w:pPr>
                </w:p>
              </w:tc>
              <w:tc>
                <w:tcPr>
                  <w:tcW w:w="217"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394"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18"/>
                      <w:szCs w:val="18"/>
                      <w:highlight w:val="none"/>
                    </w:rPr>
                  </w:pPr>
                </w:p>
              </w:tc>
              <w:tc>
                <w:tcPr>
                  <w:tcW w:w="320"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217"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18"/>
                      <w:szCs w:val="18"/>
                      <w:highlight w:val="none"/>
                    </w:rPr>
                  </w:pPr>
                </w:p>
              </w:tc>
              <w:tc>
                <w:tcPr>
                  <w:tcW w:w="217"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18"/>
                      <w:szCs w:val="18"/>
                      <w:highlight w:val="none"/>
                    </w:rPr>
                  </w:pPr>
                </w:p>
              </w:tc>
              <w:tc>
                <w:tcPr>
                  <w:tcW w:w="221"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18"/>
                      <w:szCs w:val="18"/>
                      <w:highlight w:val="none"/>
                    </w:rPr>
                  </w:pPr>
                </w:p>
              </w:tc>
              <w:tc>
                <w:tcPr>
                  <w:tcW w:w="286" w:type="pct"/>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北</w:t>
                  </w:r>
                </w:p>
              </w:tc>
              <w:tc>
                <w:tcPr>
                  <w:tcW w:w="286" w:type="pct"/>
                  <w:tcBorders>
                    <w:tl2br w:val="nil"/>
                    <w:tr2bl w:val="nil"/>
                  </w:tcBorders>
                  <w:vAlign w:val="center"/>
                </w:tcPr>
                <w:p>
                  <w:pPr>
                    <w:adjustRightInd w:val="0"/>
                    <w:jc w:val="center"/>
                    <w:textAlignment w:val="baseline"/>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329"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71</w:t>
                  </w:r>
                </w:p>
              </w:tc>
              <w:tc>
                <w:tcPr>
                  <w:tcW w:w="349"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281"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45</w:t>
                  </w:r>
                </w:p>
              </w:tc>
              <w:tc>
                <w:tcPr>
                  <w:tcW w:w="493" w:type="pct"/>
                  <w:tcBorders>
                    <w:tl2br w:val="nil"/>
                    <w:tr2bl w:val="nil"/>
                  </w:tcBorders>
                  <w:vAlign w:val="center"/>
                </w:tcPr>
                <w:p>
                  <w:pPr>
                    <w:pStyle w:val="104"/>
                    <w:rPr>
                      <w:rFonts w:hint="default" w:ascii="Times New Roman" w:hAnsi="Times New Roman" w:cs="Times New Roman"/>
                      <w:color w:val="auto"/>
                      <w:kern w:val="44"/>
                      <w:sz w:val="18"/>
                      <w:szCs w:val="18"/>
                      <w:highlight w:val="none"/>
                    </w:rPr>
                  </w:pPr>
                  <w:r>
                    <w:rPr>
                      <w:rFonts w:hint="eastAsia" w:cs="Times New Roman"/>
                      <w:b w:val="0"/>
                      <w:color w:val="auto"/>
                      <w:sz w:val="18"/>
                      <w:szCs w:val="18"/>
                      <w:highlight w:val="none"/>
                      <w:lang w:val="en-US" w:eastAsia="zh-CN"/>
                    </w:rPr>
                    <w:t>北厂界4m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58" w:hRule="atLeast"/>
              </w:trPr>
              <w:tc>
                <w:tcPr>
                  <w:tcW w:w="213" w:type="pct"/>
                  <w:vMerge w:val="restar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2</w:t>
                  </w: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restart"/>
                  <w:tcBorders>
                    <w:tl2br w:val="nil"/>
                    <w:tr2bl w:val="nil"/>
                  </w:tcBorders>
                  <w:vAlign w:val="center"/>
                </w:tcPr>
                <w:p>
                  <w:pPr>
                    <w:pStyle w:val="104"/>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车间2剪板机</w:t>
                  </w:r>
                </w:p>
              </w:tc>
              <w:tc>
                <w:tcPr>
                  <w:tcW w:w="394" w:type="pct"/>
                  <w:vMerge w:val="restart"/>
                  <w:tcBorders>
                    <w:tl2br w:val="nil"/>
                    <w:tr2bl w:val="nil"/>
                  </w:tcBorders>
                  <w:vAlign w:val="center"/>
                </w:tcPr>
                <w:p>
                  <w:pPr>
                    <w:pStyle w:val="104"/>
                    <w:rPr>
                      <w:rFonts w:hint="eastAsia" w:ascii="Times New Roman" w:hAnsi="Times New Roman" w:eastAsia="宋体"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rPr>
                    <w:t>8</w:t>
                  </w:r>
                  <w:r>
                    <w:rPr>
                      <w:rFonts w:hint="eastAsia" w:cs="Times New Roman"/>
                      <w:b w:val="0"/>
                      <w:bCs/>
                      <w:color w:val="auto"/>
                      <w:sz w:val="18"/>
                      <w:szCs w:val="18"/>
                      <w:highlight w:val="none"/>
                      <w:lang w:val="en-US" w:eastAsia="zh-CN"/>
                    </w:rPr>
                    <w:t>5</w:t>
                  </w:r>
                </w:p>
              </w:tc>
              <w:tc>
                <w:tcPr>
                  <w:tcW w:w="217" w:type="pct"/>
                  <w:vMerge w:val="restart"/>
                  <w:tcBorders>
                    <w:tl2br w:val="nil"/>
                    <w:tr2bl w:val="nil"/>
                  </w:tcBorders>
                  <w:vAlign w:val="center"/>
                </w:tcPr>
                <w:p>
                  <w:pPr>
                    <w:pStyle w:val="104"/>
                    <w:rPr>
                      <w:rFonts w:hint="eastAsia"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2</w:t>
                  </w:r>
                </w:p>
              </w:tc>
              <w:tc>
                <w:tcPr>
                  <w:tcW w:w="394" w:type="pct"/>
                  <w:vMerge w:val="restart"/>
                  <w:tcBorders>
                    <w:tl2br w:val="nil"/>
                    <w:tr2bl w:val="nil"/>
                  </w:tcBorders>
                  <w:vAlign w:val="center"/>
                </w:tcPr>
                <w:p>
                  <w:pPr>
                    <w:pStyle w:val="104"/>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88/1</w:t>
                  </w:r>
                </w:p>
              </w:tc>
              <w:tc>
                <w:tcPr>
                  <w:tcW w:w="320" w:type="pct"/>
                  <w:vMerge w:val="continue"/>
                  <w:tcBorders>
                    <w:tl2br w:val="nil"/>
                    <w:tr2bl w:val="nil"/>
                  </w:tcBorders>
                  <w:vAlign w:val="center"/>
                </w:tcPr>
                <w:p>
                  <w:pPr>
                    <w:pStyle w:val="104"/>
                    <w:jc w:val="both"/>
                    <w:rPr>
                      <w:rFonts w:hint="default" w:ascii="Times New Roman" w:hAnsi="Times New Roman" w:cs="Times New Roman"/>
                      <w:b w:val="0"/>
                      <w:color w:val="auto"/>
                      <w:sz w:val="18"/>
                      <w:szCs w:val="18"/>
                      <w:highlight w:val="none"/>
                    </w:rPr>
                  </w:pPr>
                </w:p>
              </w:tc>
              <w:tc>
                <w:tcPr>
                  <w:tcW w:w="217"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40</w:t>
                  </w:r>
                </w:p>
              </w:tc>
              <w:tc>
                <w:tcPr>
                  <w:tcW w:w="217"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46</w:t>
                  </w:r>
                </w:p>
              </w:tc>
              <w:tc>
                <w:tcPr>
                  <w:tcW w:w="221" w:type="pct"/>
                  <w:vMerge w:val="restar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1</w:t>
                  </w: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olor w:val="auto"/>
                      <w:sz w:val="18"/>
                      <w:szCs w:val="18"/>
                      <w:highlight w:val="none"/>
                      <w:lang w:val="en-US" w:eastAsia="zh-CN"/>
                    </w:rPr>
                    <w:t>东</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300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38</w:t>
                  </w:r>
                </w:p>
              </w:tc>
              <w:tc>
                <w:tcPr>
                  <w:tcW w:w="349" w:type="pct"/>
                  <w:vMerge w:val="restar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6</w:t>
                  </w:r>
                  <w:r>
                    <w:rPr>
                      <w:rFonts w:hint="default" w:ascii="Times New Roman" w:hAnsi="Times New Roman" w:cs="Times New Roman"/>
                      <w:color w:val="auto"/>
                      <w:sz w:val="18"/>
                      <w:szCs w:val="18"/>
                      <w:highlight w:val="none"/>
                    </w:rPr>
                    <w:t>h/d</w:t>
                  </w:r>
                </w:p>
              </w:tc>
              <w:tc>
                <w:tcPr>
                  <w:tcW w:w="281" w:type="pct"/>
                  <w:vMerge w:val="restar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w:t>
                  </w:r>
                  <w:r>
                    <w:rPr>
                      <w:rFonts w:hint="eastAsia" w:cs="Times New Roman"/>
                      <w:color w:val="auto"/>
                      <w:sz w:val="18"/>
                      <w:szCs w:val="18"/>
                      <w:highlight w:val="none"/>
                      <w:lang w:val="en-US" w:eastAsia="zh-CN"/>
                    </w:rPr>
                    <w:t>6</w:t>
                  </w: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12</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东厂界</w:t>
                  </w:r>
                  <w:r>
                    <w:rPr>
                      <w:rFonts w:hint="eastAsia" w:cs="Times New Roman"/>
                      <w:b w:val="0"/>
                      <w:color w:val="auto"/>
                      <w:sz w:val="18"/>
                      <w:szCs w:val="18"/>
                      <w:highlight w:val="none"/>
                      <w:lang w:val="en-US" w:eastAsia="zh-CN"/>
                    </w:rPr>
                    <w:t>8</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20" w:type="pct"/>
                  <w:vMerge w:val="continue"/>
                  <w:tcBorders>
                    <w:tl2br w:val="nil"/>
                    <w:tr2bl w:val="nil"/>
                  </w:tcBorders>
                  <w:vAlign w:val="center"/>
                </w:tcPr>
                <w:p>
                  <w:pPr>
                    <w:pStyle w:val="104"/>
                    <w:jc w:val="both"/>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南</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20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62</w:t>
                  </w:r>
                </w:p>
              </w:tc>
              <w:tc>
                <w:tcPr>
                  <w:tcW w:w="349"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36</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南厂</w:t>
                  </w:r>
                  <w:r>
                    <w:rPr>
                      <w:rFonts w:hint="eastAsia" w:cs="Times New Roman"/>
                      <w:b w:val="0"/>
                      <w:color w:val="auto"/>
                      <w:sz w:val="18"/>
                      <w:szCs w:val="18"/>
                      <w:highlight w:val="none"/>
                      <w:lang w:val="en-US" w:eastAsia="zh-CN"/>
                    </w:rPr>
                    <w:t>40</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20" w:type="pct"/>
                  <w:vMerge w:val="continue"/>
                  <w:tcBorders>
                    <w:tl2br w:val="nil"/>
                    <w:tr2bl w:val="nil"/>
                  </w:tcBorders>
                  <w:vAlign w:val="center"/>
                </w:tcPr>
                <w:p>
                  <w:pPr>
                    <w:pStyle w:val="104"/>
                    <w:jc w:val="both"/>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西</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40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56</w:t>
                  </w:r>
                </w:p>
              </w:tc>
              <w:tc>
                <w:tcPr>
                  <w:tcW w:w="349"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30</w:t>
                  </w:r>
                </w:p>
              </w:tc>
              <w:tc>
                <w:tcPr>
                  <w:tcW w:w="493"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西厂42m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20" w:type="pct"/>
                  <w:vMerge w:val="continue"/>
                  <w:tcBorders>
                    <w:tl2br w:val="nil"/>
                    <w:tr2bl w:val="nil"/>
                  </w:tcBorders>
                  <w:vAlign w:val="center"/>
                </w:tcPr>
                <w:p>
                  <w:pPr>
                    <w:pStyle w:val="104"/>
                    <w:jc w:val="both"/>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北</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22</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61</w:t>
                  </w:r>
                </w:p>
              </w:tc>
              <w:tc>
                <w:tcPr>
                  <w:tcW w:w="349"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35</w:t>
                  </w:r>
                </w:p>
              </w:tc>
              <w:tc>
                <w:tcPr>
                  <w:tcW w:w="493"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北厂界4m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rPr>
              <w:tc>
                <w:tcPr>
                  <w:tcW w:w="213" w:type="pct"/>
                  <w:vMerge w:val="restar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w:t>
                  </w: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restart"/>
                  <w:tcBorders>
                    <w:tl2br w:val="nil"/>
                    <w:tr2bl w:val="nil"/>
                  </w:tcBorders>
                  <w:vAlign w:val="center"/>
                </w:tcPr>
                <w:p>
                  <w:pPr>
                    <w:pStyle w:val="104"/>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车间2组立机</w:t>
                  </w:r>
                </w:p>
              </w:tc>
              <w:tc>
                <w:tcPr>
                  <w:tcW w:w="394" w:type="pct"/>
                  <w:vMerge w:val="restart"/>
                  <w:tcBorders>
                    <w:tl2br w:val="nil"/>
                    <w:tr2bl w:val="nil"/>
                  </w:tcBorders>
                  <w:vAlign w:val="center"/>
                </w:tcPr>
                <w:p>
                  <w:pPr>
                    <w:jc w:val="center"/>
                    <w:rPr>
                      <w:rFonts w:hint="eastAsia" w:ascii="Times New Roman" w:hAnsi="Times New Roman" w:eastAsia="宋体" w:cs="Times New Roman"/>
                      <w:bCs/>
                      <w:color w:val="auto"/>
                      <w:sz w:val="18"/>
                      <w:szCs w:val="18"/>
                      <w:highlight w:val="none"/>
                      <w:lang w:val="en-US" w:eastAsia="zh-CN"/>
                    </w:rPr>
                  </w:pPr>
                  <w:r>
                    <w:rPr>
                      <w:rFonts w:hint="default" w:ascii="Times New Roman" w:hAnsi="Times New Roman" w:cs="Times New Roman"/>
                      <w:bCs/>
                      <w:color w:val="auto"/>
                      <w:sz w:val="18"/>
                      <w:szCs w:val="18"/>
                      <w:highlight w:val="none"/>
                    </w:rPr>
                    <w:t>8</w:t>
                  </w:r>
                  <w:r>
                    <w:rPr>
                      <w:rFonts w:hint="eastAsia" w:cs="Times New Roman"/>
                      <w:bCs/>
                      <w:color w:val="auto"/>
                      <w:sz w:val="18"/>
                      <w:szCs w:val="18"/>
                      <w:highlight w:val="none"/>
                      <w:lang w:val="en-US" w:eastAsia="zh-CN"/>
                    </w:rPr>
                    <w:t>5</w:t>
                  </w:r>
                </w:p>
              </w:tc>
              <w:tc>
                <w:tcPr>
                  <w:tcW w:w="217" w:type="pct"/>
                  <w:vMerge w:val="restart"/>
                  <w:tcBorders>
                    <w:tl2br w:val="nil"/>
                    <w:tr2bl w:val="nil"/>
                  </w:tcBorders>
                  <w:vAlign w:val="center"/>
                </w:tcPr>
                <w:p>
                  <w:pPr>
                    <w:pStyle w:val="104"/>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w:t>
                  </w:r>
                </w:p>
              </w:tc>
              <w:tc>
                <w:tcPr>
                  <w:tcW w:w="394" w:type="pct"/>
                  <w:vMerge w:val="restart"/>
                  <w:tcBorders>
                    <w:tl2br w:val="nil"/>
                    <w:tr2bl w:val="nil"/>
                  </w:tcBorders>
                  <w:vAlign w:val="center"/>
                </w:tcPr>
                <w:p>
                  <w:pPr>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85</w:t>
                  </w:r>
                  <w:r>
                    <w:rPr>
                      <w:rFonts w:hint="eastAsia" w:cs="Times New Roman"/>
                      <w:b w:val="0"/>
                      <w:bCs/>
                      <w:color w:val="auto"/>
                      <w:sz w:val="18"/>
                      <w:szCs w:val="18"/>
                      <w:highlight w:val="none"/>
                      <w:lang w:val="en-US" w:eastAsia="zh-CN"/>
                    </w:rPr>
                    <w:t>/1</w:t>
                  </w: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150</w:t>
                  </w:r>
                </w:p>
              </w:tc>
              <w:tc>
                <w:tcPr>
                  <w:tcW w:w="217"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30</w:t>
                  </w:r>
                </w:p>
              </w:tc>
              <w:tc>
                <w:tcPr>
                  <w:tcW w:w="221" w:type="pct"/>
                  <w:vMerge w:val="restar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1</w:t>
                  </w: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olor w:val="auto"/>
                      <w:sz w:val="18"/>
                      <w:szCs w:val="18"/>
                      <w:highlight w:val="none"/>
                      <w:lang w:val="en-US" w:eastAsia="zh-CN"/>
                    </w:rPr>
                    <w:t>东</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200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39</w:t>
                  </w:r>
                </w:p>
              </w:tc>
              <w:tc>
                <w:tcPr>
                  <w:tcW w:w="349" w:type="pct"/>
                  <w:vMerge w:val="restar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6</w:t>
                  </w:r>
                  <w:r>
                    <w:rPr>
                      <w:rFonts w:hint="default" w:ascii="Times New Roman" w:hAnsi="Times New Roman" w:cs="Times New Roman"/>
                      <w:color w:val="auto"/>
                      <w:sz w:val="18"/>
                      <w:szCs w:val="18"/>
                      <w:highlight w:val="none"/>
                    </w:rPr>
                    <w:t>h/d</w:t>
                  </w:r>
                </w:p>
              </w:tc>
              <w:tc>
                <w:tcPr>
                  <w:tcW w:w="281" w:type="pct"/>
                  <w:vMerge w:val="restar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w:t>
                  </w:r>
                  <w:r>
                    <w:rPr>
                      <w:rFonts w:hint="eastAsia" w:cs="Times New Roman"/>
                      <w:color w:val="auto"/>
                      <w:sz w:val="18"/>
                      <w:szCs w:val="18"/>
                      <w:highlight w:val="none"/>
                      <w:lang w:val="en-US" w:eastAsia="zh-CN"/>
                    </w:rPr>
                    <w:t>6</w:t>
                  </w: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13</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东厂界</w:t>
                  </w:r>
                  <w:r>
                    <w:rPr>
                      <w:rFonts w:hint="eastAsia" w:cs="Times New Roman"/>
                      <w:b w:val="0"/>
                      <w:color w:val="auto"/>
                      <w:sz w:val="18"/>
                      <w:szCs w:val="18"/>
                      <w:highlight w:val="none"/>
                      <w:lang w:val="en-US" w:eastAsia="zh-CN"/>
                    </w:rPr>
                    <w:t>8</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jc w:val="center"/>
                    <w:rPr>
                      <w:rFonts w:hint="default" w:ascii="Times New Roman" w:hAnsi="Times New Roman" w:cs="Times New Roman"/>
                      <w:bCs/>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jc w:val="center"/>
                    <w:rPr>
                      <w:rFonts w:hint="default" w:ascii="Times New Roman" w:hAnsi="Times New Roman" w:cs="Times New Roman"/>
                      <w:bCs/>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南</w:t>
                  </w:r>
                </w:p>
              </w:tc>
              <w:tc>
                <w:tcPr>
                  <w:tcW w:w="286" w:type="pc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2</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79</w:t>
                  </w:r>
                </w:p>
              </w:tc>
              <w:tc>
                <w:tcPr>
                  <w:tcW w:w="349"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53</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南厂</w:t>
                  </w:r>
                  <w:r>
                    <w:rPr>
                      <w:rFonts w:hint="eastAsia" w:cs="Times New Roman"/>
                      <w:b w:val="0"/>
                      <w:color w:val="auto"/>
                      <w:sz w:val="18"/>
                      <w:szCs w:val="18"/>
                      <w:highlight w:val="none"/>
                      <w:lang w:val="en-US" w:eastAsia="zh-CN"/>
                    </w:rPr>
                    <w:t>40</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jc w:val="center"/>
                    <w:rPr>
                      <w:rFonts w:hint="default" w:ascii="Times New Roman" w:hAnsi="Times New Roman" w:cs="Times New Roman"/>
                      <w:bCs/>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jc w:val="center"/>
                    <w:rPr>
                      <w:rFonts w:hint="default" w:ascii="Times New Roman" w:hAnsi="Times New Roman" w:cs="Times New Roman"/>
                      <w:bCs/>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西</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150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41</w:t>
                  </w:r>
                </w:p>
              </w:tc>
              <w:tc>
                <w:tcPr>
                  <w:tcW w:w="349"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15</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eastAsia" w:cs="Times New Roman"/>
                      <w:b w:val="0"/>
                      <w:color w:val="auto"/>
                      <w:sz w:val="18"/>
                      <w:szCs w:val="18"/>
                      <w:highlight w:val="none"/>
                      <w:lang w:val="en-US" w:eastAsia="zh-CN"/>
                    </w:rPr>
                    <w:t>西厂42m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jc w:val="center"/>
                    <w:rPr>
                      <w:rFonts w:hint="default" w:ascii="Times New Roman" w:hAnsi="Times New Roman" w:cs="Times New Roman"/>
                      <w:bCs/>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jc w:val="center"/>
                    <w:rPr>
                      <w:rFonts w:hint="default" w:ascii="Times New Roman" w:hAnsi="Times New Roman" w:cs="Times New Roman"/>
                      <w:bCs/>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北</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40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53</w:t>
                  </w:r>
                </w:p>
              </w:tc>
              <w:tc>
                <w:tcPr>
                  <w:tcW w:w="349"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27</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eastAsia" w:cs="Times New Roman"/>
                      <w:b w:val="0"/>
                      <w:color w:val="auto"/>
                      <w:sz w:val="18"/>
                      <w:szCs w:val="18"/>
                      <w:highlight w:val="none"/>
                      <w:lang w:val="en-US" w:eastAsia="zh-CN"/>
                    </w:rPr>
                    <w:t>北厂界4m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rPr>
              <w:tc>
                <w:tcPr>
                  <w:tcW w:w="213" w:type="pct"/>
                  <w:vMerge w:val="restar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4</w:t>
                  </w: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restart"/>
                  <w:tcBorders>
                    <w:tl2br w:val="nil"/>
                    <w:tr2bl w:val="nil"/>
                  </w:tcBorders>
                  <w:vAlign w:val="center"/>
                </w:tcPr>
                <w:p>
                  <w:pPr>
                    <w:pStyle w:val="104"/>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车间2空压机</w:t>
                  </w:r>
                </w:p>
              </w:tc>
              <w:tc>
                <w:tcPr>
                  <w:tcW w:w="394" w:type="pct"/>
                  <w:vMerge w:val="restart"/>
                  <w:tcBorders>
                    <w:tl2br w:val="nil"/>
                    <w:tr2bl w:val="nil"/>
                  </w:tcBorders>
                  <w:vAlign w:val="center"/>
                </w:tcPr>
                <w:p>
                  <w:pPr>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85</w:t>
                  </w:r>
                </w:p>
              </w:tc>
              <w:tc>
                <w:tcPr>
                  <w:tcW w:w="217" w:type="pct"/>
                  <w:vMerge w:val="restart"/>
                  <w:tcBorders>
                    <w:tl2br w:val="nil"/>
                    <w:tr2bl w:val="nil"/>
                  </w:tcBorders>
                  <w:vAlign w:val="center"/>
                </w:tcPr>
                <w:p>
                  <w:pPr>
                    <w:pStyle w:val="104"/>
                    <w:rPr>
                      <w:rFonts w:hint="eastAsia"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val="en-US" w:eastAsia="zh-CN"/>
                    </w:rPr>
                    <w:t>1</w:t>
                  </w:r>
                </w:p>
              </w:tc>
              <w:tc>
                <w:tcPr>
                  <w:tcW w:w="394" w:type="pct"/>
                  <w:vMerge w:val="restart"/>
                  <w:tcBorders>
                    <w:tl2br w:val="nil"/>
                    <w:tr2bl w:val="nil"/>
                  </w:tcBorders>
                  <w:vAlign w:val="center"/>
                </w:tcPr>
                <w:p>
                  <w:pPr>
                    <w:jc w:val="center"/>
                    <w:rPr>
                      <w:rFonts w:hint="default" w:ascii="Times New Roman" w:hAnsi="Times New Roman" w:eastAsia="宋体" w:cs="Times New Roman"/>
                      <w:bCs/>
                      <w:color w:val="auto"/>
                      <w:sz w:val="18"/>
                      <w:szCs w:val="18"/>
                      <w:highlight w:val="none"/>
                      <w:lang w:val="en-US" w:eastAsia="zh-CN"/>
                    </w:rPr>
                  </w:pPr>
                  <w:r>
                    <w:rPr>
                      <w:rFonts w:hint="eastAsia" w:cs="Times New Roman"/>
                      <w:bCs/>
                      <w:color w:val="auto"/>
                      <w:sz w:val="18"/>
                      <w:szCs w:val="18"/>
                      <w:highlight w:val="none"/>
                      <w:lang w:val="en-US" w:eastAsia="zh-CN"/>
                    </w:rPr>
                    <w:t>85</w:t>
                  </w:r>
                  <w:r>
                    <w:rPr>
                      <w:rFonts w:hint="eastAsia" w:cs="Times New Roman"/>
                      <w:b w:val="0"/>
                      <w:bCs/>
                      <w:color w:val="auto"/>
                      <w:sz w:val="18"/>
                      <w:szCs w:val="18"/>
                      <w:highlight w:val="none"/>
                      <w:lang w:val="en-US" w:eastAsia="zh-CN"/>
                    </w:rPr>
                    <w:t>/1</w:t>
                  </w: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340</w:t>
                  </w:r>
                </w:p>
              </w:tc>
              <w:tc>
                <w:tcPr>
                  <w:tcW w:w="217"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50</w:t>
                  </w:r>
                </w:p>
              </w:tc>
              <w:tc>
                <w:tcPr>
                  <w:tcW w:w="221" w:type="pct"/>
                  <w:vMerge w:val="restar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1</w:t>
                  </w: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olor w:val="auto"/>
                      <w:sz w:val="18"/>
                      <w:szCs w:val="18"/>
                      <w:highlight w:val="none"/>
                      <w:lang w:val="en-US" w:eastAsia="zh-CN"/>
                    </w:rPr>
                    <w:t>东</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10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65</w:t>
                  </w:r>
                </w:p>
              </w:tc>
              <w:tc>
                <w:tcPr>
                  <w:tcW w:w="349" w:type="pct"/>
                  <w:vMerge w:val="restart"/>
                  <w:tcBorders>
                    <w:tl2br w:val="nil"/>
                    <w:tr2bl w:val="nil"/>
                  </w:tcBorders>
                  <w:vAlign w:val="center"/>
                </w:tcPr>
                <w:p>
                  <w:pPr>
                    <w:jc w:val="cente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6</w:t>
                  </w:r>
                  <w:r>
                    <w:rPr>
                      <w:rFonts w:hint="default" w:ascii="Times New Roman" w:hAnsi="Times New Roman" w:cs="Times New Roman"/>
                      <w:color w:val="auto"/>
                      <w:sz w:val="18"/>
                      <w:szCs w:val="18"/>
                      <w:highlight w:val="none"/>
                    </w:rPr>
                    <w:t>h/d</w:t>
                  </w:r>
                </w:p>
              </w:tc>
              <w:tc>
                <w:tcPr>
                  <w:tcW w:w="281" w:type="pct"/>
                  <w:vMerge w:val="restar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w:t>
                  </w:r>
                  <w:r>
                    <w:rPr>
                      <w:rFonts w:hint="eastAsia" w:cs="Times New Roman"/>
                      <w:color w:val="auto"/>
                      <w:sz w:val="18"/>
                      <w:szCs w:val="18"/>
                      <w:highlight w:val="none"/>
                      <w:lang w:val="en-US" w:eastAsia="zh-CN"/>
                    </w:rPr>
                    <w:t>6</w:t>
                  </w: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39</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东厂界</w:t>
                  </w:r>
                  <w:r>
                    <w:rPr>
                      <w:rFonts w:hint="eastAsia" w:cs="Times New Roman"/>
                      <w:b w:val="0"/>
                      <w:color w:val="auto"/>
                      <w:sz w:val="18"/>
                      <w:szCs w:val="18"/>
                      <w:highlight w:val="none"/>
                      <w:lang w:val="en-US" w:eastAsia="zh-CN"/>
                    </w:rPr>
                    <w:t>8</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南</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20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59</w:t>
                  </w:r>
                </w:p>
              </w:tc>
              <w:tc>
                <w:tcPr>
                  <w:tcW w:w="349" w:type="pct"/>
                  <w:vMerge w:val="continue"/>
                  <w:tcBorders>
                    <w:tl2br w:val="nil"/>
                    <w:tr2bl w:val="nil"/>
                  </w:tcBorders>
                  <w:vAlign w:val="center"/>
                </w:tcPr>
                <w:p>
                  <w:pPr>
                    <w:pStyle w:val="104"/>
                    <w:jc w:val="center"/>
                    <w:rPr>
                      <w:rFonts w:hint="default" w:ascii="Times New Roman" w:hAnsi="Times New Roman" w:cs="Times New Roman"/>
                      <w:b w:val="0"/>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33</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南厂</w:t>
                  </w:r>
                  <w:r>
                    <w:rPr>
                      <w:rFonts w:hint="eastAsia" w:cs="Times New Roman"/>
                      <w:b w:val="0"/>
                      <w:color w:val="auto"/>
                      <w:sz w:val="18"/>
                      <w:szCs w:val="18"/>
                      <w:highlight w:val="none"/>
                      <w:lang w:val="en-US" w:eastAsia="zh-CN"/>
                    </w:rPr>
                    <w:t>40</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西</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340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34</w:t>
                  </w:r>
                </w:p>
              </w:tc>
              <w:tc>
                <w:tcPr>
                  <w:tcW w:w="349" w:type="pct"/>
                  <w:vMerge w:val="continue"/>
                  <w:tcBorders>
                    <w:tl2br w:val="nil"/>
                    <w:tr2bl w:val="nil"/>
                  </w:tcBorders>
                  <w:vAlign w:val="center"/>
                </w:tcPr>
                <w:p>
                  <w:pPr>
                    <w:pStyle w:val="104"/>
                    <w:jc w:val="center"/>
                    <w:rPr>
                      <w:rFonts w:hint="default" w:ascii="Times New Roman" w:hAnsi="Times New Roman" w:cs="Times New Roman"/>
                      <w:b w:val="0"/>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eastAsia" w:cs="Times New Roman"/>
                      <w:b w:val="0"/>
                      <w:color w:val="auto"/>
                      <w:sz w:val="18"/>
                      <w:szCs w:val="18"/>
                      <w:highlight w:val="none"/>
                      <w:lang w:val="en-US" w:eastAsia="zh-CN"/>
                    </w:rPr>
                    <w:t>西厂42m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北</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22</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58</w:t>
                  </w:r>
                </w:p>
              </w:tc>
              <w:tc>
                <w:tcPr>
                  <w:tcW w:w="349" w:type="pct"/>
                  <w:vMerge w:val="continue"/>
                  <w:tcBorders>
                    <w:tl2br w:val="nil"/>
                    <w:tr2bl w:val="nil"/>
                  </w:tcBorders>
                  <w:vAlign w:val="center"/>
                </w:tcPr>
                <w:p>
                  <w:pPr>
                    <w:pStyle w:val="104"/>
                    <w:jc w:val="center"/>
                    <w:rPr>
                      <w:rFonts w:hint="default" w:ascii="Times New Roman" w:hAnsi="Times New Roman" w:cs="Times New Roman"/>
                      <w:b w:val="0"/>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32</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eastAsia" w:cs="Times New Roman"/>
                      <w:b w:val="0"/>
                      <w:color w:val="auto"/>
                      <w:sz w:val="18"/>
                      <w:szCs w:val="18"/>
                      <w:highlight w:val="none"/>
                      <w:lang w:val="en-US" w:eastAsia="zh-CN"/>
                    </w:rPr>
                    <w:t>北厂界4m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213" w:type="pct"/>
                  <w:vMerge w:val="restar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5</w:t>
                  </w: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restart"/>
                  <w:tcBorders>
                    <w:tl2br w:val="nil"/>
                    <w:tr2bl w:val="nil"/>
                  </w:tcBorders>
                  <w:vAlign w:val="center"/>
                </w:tcPr>
                <w:p>
                  <w:pPr>
                    <w:pStyle w:val="104"/>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车间2抛丸机</w:t>
                  </w:r>
                </w:p>
              </w:tc>
              <w:tc>
                <w:tcPr>
                  <w:tcW w:w="394" w:type="pct"/>
                  <w:vMerge w:val="restar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default" w:ascii="Times New Roman" w:hAnsi="Times New Roman" w:cs="Times New Roman"/>
                      <w:b w:val="0"/>
                      <w:color w:val="auto"/>
                      <w:sz w:val="18"/>
                      <w:szCs w:val="18"/>
                      <w:highlight w:val="none"/>
                    </w:rPr>
                    <w:t>8</w:t>
                  </w:r>
                  <w:r>
                    <w:rPr>
                      <w:rFonts w:hint="eastAsia" w:cs="Times New Roman"/>
                      <w:b w:val="0"/>
                      <w:color w:val="auto"/>
                      <w:sz w:val="18"/>
                      <w:szCs w:val="18"/>
                      <w:highlight w:val="none"/>
                      <w:lang w:val="en-US" w:eastAsia="zh-CN"/>
                    </w:rPr>
                    <w:t>5</w:t>
                  </w:r>
                </w:p>
              </w:tc>
              <w:tc>
                <w:tcPr>
                  <w:tcW w:w="217" w:type="pct"/>
                  <w:vMerge w:val="restar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1</w:t>
                  </w:r>
                </w:p>
              </w:tc>
              <w:tc>
                <w:tcPr>
                  <w:tcW w:w="394"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85</w:t>
                  </w:r>
                  <w:r>
                    <w:rPr>
                      <w:rFonts w:hint="eastAsia" w:cs="Times New Roman"/>
                      <w:b w:val="0"/>
                      <w:bCs/>
                      <w:color w:val="auto"/>
                      <w:sz w:val="18"/>
                      <w:szCs w:val="18"/>
                      <w:highlight w:val="none"/>
                      <w:lang w:val="en-US" w:eastAsia="zh-CN"/>
                    </w:rPr>
                    <w:t>/1</w:t>
                  </w: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340</w:t>
                  </w:r>
                </w:p>
              </w:tc>
              <w:tc>
                <w:tcPr>
                  <w:tcW w:w="217"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30</w:t>
                  </w:r>
                </w:p>
              </w:tc>
              <w:tc>
                <w:tcPr>
                  <w:tcW w:w="221" w:type="pct"/>
                  <w:vMerge w:val="restar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1</w:t>
                  </w: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olor w:val="auto"/>
                      <w:sz w:val="18"/>
                      <w:szCs w:val="18"/>
                      <w:highlight w:val="none"/>
                      <w:lang w:val="en-US" w:eastAsia="zh-CN"/>
                    </w:rPr>
                    <w:t>东</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10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65</w:t>
                  </w:r>
                </w:p>
              </w:tc>
              <w:tc>
                <w:tcPr>
                  <w:tcW w:w="349" w:type="pct"/>
                  <w:vMerge w:val="restart"/>
                  <w:tcBorders>
                    <w:tl2br w:val="nil"/>
                    <w:tr2bl w:val="nil"/>
                  </w:tcBorders>
                  <w:vAlign w:val="center"/>
                </w:tcPr>
                <w:p>
                  <w:pPr>
                    <w:pStyle w:val="104"/>
                    <w:jc w:val="center"/>
                    <w:rPr>
                      <w:rFonts w:hint="default" w:ascii="Times New Roman" w:hAnsi="Times New Roman" w:cs="Times New Roman"/>
                      <w:b w:val="0"/>
                      <w:bCs/>
                      <w:color w:val="auto"/>
                      <w:sz w:val="18"/>
                      <w:szCs w:val="18"/>
                      <w:highlight w:val="none"/>
                    </w:rPr>
                  </w:pPr>
                  <w:r>
                    <w:rPr>
                      <w:rFonts w:hint="eastAsia" w:cs="Times New Roman"/>
                      <w:b w:val="0"/>
                      <w:bCs/>
                      <w:color w:val="auto"/>
                      <w:sz w:val="18"/>
                      <w:szCs w:val="18"/>
                      <w:highlight w:val="none"/>
                      <w:lang w:val="en-US" w:eastAsia="zh-CN"/>
                    </w:rPr>
                    <w:t>6</w:t>
                  </w:r>
                  <w:r>
                    <w:rPr>
                      <w:rFonts w:hint="default" w:ascii="Times New Roman" w:hAnsi="Times New Roman" w:cs="Times New Roman"/>
                      <w:b w:val="0"/>
                      <w:bCs/>
                      <w:color w:val="auto"/>
                      <w:sz w:val="18"/>
                      <w:szCs w:val="18"/>
                      <w:highlight w:val="none"/>
                    </w:rPr>
                    <w:t>h/d</w:t>
                  </w:r>
                </w:p>
              </w:tc>
              <w:tc>
                <w:tcPr>
                  <w:tcW w:w="281" w:type="pct"/>
                  <w:vMerge w:val="restar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w:t>
                  </w:r>
                  <w:r>
                    <w:rPr>
                      <w:rFonts w:hint="eastAsia" w:cs="Times New Roman"/>
                      <w:color w:val="auto"/>
                      <w:sz w:val="18"/>
                      <w:szCs w:val="18"/>
                      <w:highlight w:val="none"/>
                      <w:lang w:val="en-US" w:eastAsia="zh-CN"/>
                    </w:rPr>
                    <w:t>6</w:t>
                  </w: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39</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东厂界</w:t>
                  </w:r>
                  <w:r>
                    <w:rPr>
                      <w:rFonts w:hint="eastAsia" w:cs="Times New Roman"/>
                      <w:b w:val="0"/>
                      <w:color w:val="auto"/>
                      <w:sz w:val="18"/>
                      <w:szCs w:val="18"/>
                      <w:highlight w:val="none"/>
                      <w:lang w:val="en-US" w:eastAsia="zh-CN"/>
                    </w:rPr>
                    <w:t>8</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南</w:t>
                  </w:r>
                </w:p>
              </w:tc>
              <w:tc>
                <w:tcPr>
                  <w:tcW w:w="286" w:type="pc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2</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79</w:t>
                  </w:r>
                </w:p>
              </w:tc>
              <w:tc>
                <w:tcPr>
                  <w:tcW w:w="349"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53</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南厂</w:t>
                  </w:r>
                  <w:r>
                    <w:rPr>
                      <w:rFonts w:hint="eastAsia" w:cs="Times New Roman"/>
                      <w:b w:val="0"/>
                      <w:color w:val="auto"/>
                      <w:sz w:val="18"/>
                      <w:szCs w:val="18"/>
                      <w:highlight w:val="none"/>
                      <w:lang w:val="en-US" w:eastAsia="zh-CN"/>
                    </w:rPr>
                    <w:t>40</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西</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340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34</w:t>
                  </w:r>
                </w:p>
              </w:tc>
              <w:tc>
                <w:tcPr>
                  <w:tcW w:w="349"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eastAsia" w:cs="Times New Roman"/>
                      <w:b w:val="0"/>
                      <w:color w:val="auto"/>
                      <w:sz w:val="18"/>
                      <w:szCs w:val="18"/>
                      <w:highlight w:val="none"/>
                      <w:lang w:val="en-US" w:eastAsia="zh-CN"/>
                    </w:rPr>
                    <w:t>西厂42m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北</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40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53</w:t>
                  </w:r>
                </w:p>
              </w:tc>
              <w:tc>
                <w:tcPr>
                  <w:tcW w:w="349"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27</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eastAsia" w:cs="Times New Roman"/>
                      <w:b w:val="0"/>
                      <w:color w:val="auto"/>
                      <w:sz w:val="18"/>
                      <w:szCs w:val="18"/>
                      <w:highlight w:val="none"/>
                      <w:lang w:val="en-US" w:eastAsia="zh-CN"/>
                    </w:rPr>
                    <w:t>北厂界4m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33" w:hRule="atLeast"/>
              </w:trPr>
              <w:tc>
                <w:tcPr>
                  <w:tcW w:w="213" w:type="pct"/>
                  <w:vMerge w:val="restar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6</w:t>
                  </w: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restart"/>
                  <w:tcBorders>
                    <w:tl2br w:val="nil"/>
                    <w:tr2bl w:val="nil"/>
                  </w:tcBorders>
                  <w:vAlign w:val="center"/>
                </w:tcPr>
                <w:p>
                  <w:pPr>
                    <w:pStyle w:val="104"/>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车间3组立机</w:t>
                  </w:r>
                </w:p>
              </w:tc>
              <w:tc>
                <w:tcPr>
                  <w:tcW w:w="394" w:type="pct"/>
                  <w:vMerge w:val="restar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default" w:ascii="Times New Roman" w:hAnsi="Times New Roman" w:cs="Times New Roman"/>
                      <w:b w:val="0"/>
                      <w:color w:val="auto"/>
                      <w:sz w:val="18"/>
                      <w:szCs w:val="18"/>
                      <w:highlight w:val="none"/>
                    </w:rPr>
                    <w:t>8</w:t>
                  </w:r>
                  <w:r>
                    <w:rPr>
                      <w:rFonts w:hint="eastAsia" w:cs="Times New Roman"/>
                      <w:b w:val="0"/>
                      <w:color w:val="auto"/>
                      <w:sz w:val="18"/>
                      <w:szCs w:val="18"/>
                      <w:highlight w:val="none"/>
                      <w:lang w:val="en-US" w:eastAsia="zh-CN"/>
                    </w:rPr>
                    <w:t>5</w:t>
                  </w:r>
                </w:p>
              </w:tc>
              <w:tc>
                <w:tcPr>
                  <w:tcW w:w="217" w:type="pct"/>
                  <w:vMerge w:val="restar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1</w:t>
                  </w:r>
                </w:p>
              </w:tc>
              <w:tc>
                <w:tcPr>
                  <w:tcW w:w="394" w:type="pct"/>
                  <w:vMerge w:val="restar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default" w:ascii="Times New Roman" w:hAnsi="Times New Roman" w:cs="Times New Roman"/>
                      <w:b w:val="0"/>
                      <w:color w:val="auto"/>
                      <w:sz w:val="18"/>
                      <w:szCs w:val="18"/>
                      <w:highlight w:val="none"/>
                    </w:rPr>
                    <w:t>8</w:t>
                  </w:r>
                  <w:r>
                    <w:rPr>
                      <w:rFonts w:hint="eastAsia" w:cs="Times New Roman"/>
                      <w:b w:val="0"/>
                      <w:color w:val="auto"/>
                      <w:sz w:val="18"/>
                      <w:szCs w:val="18"/>
                      <w:highlight w:val="none"/>
                      <w:lang w:val="en-US" w:eastAsia="zh-CN"/>
                    </w:rPr>
                    <w:t>5</w:t>
                  </w:r>
                  <w:r>
                    <w:rPr>
                      <w:rFonts w:hint="eastAsia" w:cs="Times New Roman"/>
                      <w:b w:val="0"/>
                      <w:bCs/>
                      <w:color w:val="auto"/>
                      <w:sz w:val="18"/>
                      <w:szCs w:val="18"/>
                      <w:highlight w:val="none"/>
                      <w:lang w:val="en-US" w:eastAsia="zh-CN"/>
                    </w:rPr>
                    <w:t>/1</w:t>
                  </w: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70</w:t>
                  </w:r>
                </w:p>
              </w:tc>
              <w:tc>
                <w:tcPr>
                  <w:tcW w:w="217"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2</w:t>
                  </w:r>
                </w:p>
              </w:tc>
              <w:tc>
                <w:tcPr>
                  <w:tcW w:w="221" w:type="pct"/>
                  <w:vMerge w:val="restar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1</w:t>
                  </w: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olor w:val="auto"/>
                      <w:sz w:val="18"/>
                      <w:szCs w:val="18"/>
                      <w:highlight w:val="none"/>
                      <w:lang w:val="en-US" w:eastAsia="zh-CN"/>
                    </w:rPr>
                    <w:t>东</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280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36</w:t>
                  </w:r>
                </w:p>
              </w:tc>
              <w:tc>
                <w:tcPr>
                  <w:tcW w:w="349" w:type="pct"/>
                  <w:vMerge w:val="restart"/>
                  <w:tcBorders>
                    <w:tl2br w:val="nil"/>
                    <w:tr2bl w:val="nil"/>
                  </w:tcBorders>
                  <w:vAlign w:val="center"/>
                </w:tcPr>
                <w:p>
                  <w:pPr>
                    <w:pStyle w:val="104"/>
                    <w:rPr>
                      <w:rFonts w:hint="default" w:ascii="Times New Roman" w:hAnsi="Times New Roman" w:cs="Times New Roman"/>
                      <w:b w:val="0"/>
                      <w:bCs/>
                      <w:color w:val="auto"/>
                      <w:sz w:val="18"/>
                      <w:szCs w:val="18"/>
                      <w:highlight w:val="none"/>
                    </w:rPr>
                  </w:pPr>
                  <w:r>
                    <w:rPr>
                      <w:rFonts w:hint="eastAsia" w:cs="Times New Roman"/>
                      <w:b w:val="0"/>
                      <w:bCs/>
                      <w:color w:val="auto"/>
                      <w:sz w:val="18"/>
                      <w:szCs w:val="18"/>
                      <w:highlight w:val="none"/>
                      <w:lang w:val="en-US" w:eastAsia="zh-CN"/>
                    </w:rPr>
                    <w:t>6</w:t>
                  </w:r>
                  <w:r>
                    <w:rPr>
                      <w:rFonts w:hint="default" w:ascii="Times New Roman" w:hAnsi="Times New Roman" w:cs="Times New Roman"/>
                      <w:b w:val="0"/>
                      <w:bCs/>
                      <w:color w:val="auto"/>
                      <w:sz w:val="18"/>
                      <w:szCs w:val="18"/>
                      <w:highlight w:val="none"/>
                    </w:rPr>
                    <w:t>h/d</w:t>
                  </w:r>
                </w:p>
              </w:tc>
              <w:tc>
                <w:tcPr>
                  <w:tcW w:w="281" w:type="pct"/>
                  <w:vMerge w:val="restar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w:t>
                  </w:r>
                  <w:r>
                    <w:rPr>
                      <w:rFonts w:hint="eastAsia" w:cs="Times New Roman"/>
                      <w:color w:val="auto"/>
                      <w:sz w:val="18"/>
                      <w:szCs w:val="18"/>
                      <w:highlight w:val="none"/>
                      <w:lang w:val="en-US" w:eastAsia="zh-CN"/>
                    </w:rPr>
                    <w:t>6</w:t>
                  </w: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东厂界</w:t>
                  </w:r>
                  <w:r>
                    <w:rPr>
                      <w:rFonts w:hint="eastAsia" w:cs="Times New Roman"/>
                      <w:b w:val="0"/>
                      <w:color w:val="auto"/>
                      <w:sz w:val="18"/>
                      <w:szCs w:val="18"/>
                      <w:highlight w:val="none"/>
                      <w:lang w:val="en-US" w:eastAsia="zh-CN"/>
                    </w:rPr>
                    <w:t>8</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南</w:t>
                  </w:r>
                </w:p>
              </w:tc>
              <w:tc>
                <w:tcPr>
                  <w:tcW w:w="286" w:type="pc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2</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79</w:t>
                  </w:r>
                </w:p>
              </w:tc>
              <w:tc>
                <w:tcPr>
                  <w:tcW w:w="349"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53</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南厂1</w:t>
                  </w:r>
                  <w:r>
                    <w:rPr>
                      <w:rFonts w:hint="eastAsia" w:cs="Times New Roman"/>
                      <w:b w:val="0"/>
                      <w:color w:val="auto"/>
                      <w:sz w:val="18"/>
                      <w:szCs w:val="18"/>
                      <w:highlight w:val="none"/>
                      <w:lang w:val="en-US" w:eastAsia="zh-CN"/>
                    </w:rPr>
                    <w:t>2</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西</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70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48</w:t>
                  </w:r>
                </w:p>
              </w:tc>
              <w:tc>
                <w:tcPr>
                  <w:tcW w:w="349"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22</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eastAsia" w:cs="Times New Roman"/>
                      <w:b w:val="0"/>
                      <w:color w:val="auto"/>
                      <w:sz w:val="18"/>
                      <w:szCs w:val="18"/>
                      <w:highlight w:val="none"/>
                      <w:lang w:val="en-US" w:eastAsia="zh-CN"/>
                    </w:rPr>
                    <w:t>西厂42m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北</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25</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57</w:t>
                  </w:r>
                </w:p>
              </w:tc>
              <w:tc>
                <w:tcPr>
                  <w:tcW w:w="349" w:type="pct"/>
                  <w:vMerge w:val="continue"/>
                  <w:tcBorders>
                    <w:tl2br w:val="nil"/>
                    <w:tr2bl w:val="nil"/>
                  </w:tcBorders>
                  <w:vAlign w:val="center"/>
                </w:tcPr>
                <w:p>
                  <w:pPr>
                    <w:pStyle w:val="104"/>
                    <w:rPr>
                      <w:rFonts w:hint="default" w:ascii="Times New Roman" w:hAnsi="Times New Roman" w:cs="Times New Roman"/>
                      <w:b w:val="0"/>
                      <w:bCs/>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31</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eastAsia" w:cs="Times New Roman"/>
                      <w:b w:val="0"/>
                      <w:color w:val="auto"/>
                      <w:sz w:val="18"/>
                      <w:szCs w:val="18"/>
                      <w:highlight w:val="none"/>
                      <w:lang w:val="en-US" w:eastAsia="zh-CN"/>
                    </w:rPr>
                    <w:t>北厂50m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8" w:hRule="atLeast"/>
              </w:trPr>
              <w:tc>
                <w:tcPr>
                  <w:tcW w:w="213" w:type="pct"/>
                  <w:vMerge w:val="restar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7</w:t>
                  </w: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restart"/>
                  <w:tcBorders>
                    <w:tl2br w:val="nil"/>
                    <w:tr2bl w:val="nil"/>
                  </w:tcBorders>
                  <w:vAlign w:val="center"/>
                </w:tcPr>
                <w:p>
                  <w:pPr>
                    <w:pStyle w:val="104"/>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车间3空压机</w:t>
                  </w:r>
                </w:p>
              </w:tc>
              <w:tc>
                <w:tcPr>
                  <w:tcW w:w="394"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85</w:t>
                  </w:r>
                </w:p>
              </w:tc>
              <w:tc>
                <w:tcPr>
                  <w:tcW w:w="217" w:type="pct"/>
                  <w:vMerge w:val="restar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1</w:t>
                  </w:r>
                </w:p>
              </w:tc>
              <w:tc>
                <w:tcPr>
                  <w:tcW w:w="394"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85</w:t>
                  </w:r>
                  <w:r>
                    <w:rPr>
                      <w:rFonts w:hint="eastAsia" w:cs="Times New Roman"/>
                      <w:b w:val="0"/>
                      <w:bCs/>
                      <w:color w:val="auto"/>
                      <w:sz w:val="18"/>
                      <w:szCs w:val="18"/>
                      <w:highlight w:val="none"/>
                      <w:lang w:val="en-US" w:eastAsia="zh-CN"/>
                    </w:rPr>
                    <w:t>/1</w:t>
                  </w: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restar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eastAsia" w:cs="Times New Roman"/>
                      <w:b w:val="0"/>
                      <w:color w:val="auto"/>
                      <w:sz w:val="18"/>
                      <w:szCs w:val="18"/>
                      <w:highlight w:val="none"/>
                      <w:lang w:val="en-US" w:eastAsia="zh-CN"/>
                    </w:rPr>
                    <w:t>340</w:t>
                  </w:r>
                </w:p>
              </w:tc>
              <w:tc>
                <w:tcPr>
                  <w:tcW w:w="217" w:type="pct"/>
                  <w:vMerge w:val="restar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eastAsia" w:cs="Times New Roman"/>
                      <w:b w:val="0"/>
                      <w:color w:val="auto"/>
                      <w:sz w:val="18"/>
                      <w:szCs w:val="18"/>
                      <w:highlight w:val="none"/>
                      <w:lang w:val="en-US" w:eastAsia="zh-CN"/>
                    </w:rPr>
                    <w:t>25</w:t>
                  </w:r>
                </w:p>
              </w:tc>
              <w:tc>
                <w:tcPr>
                  <w:tcW w:w="221" w:type="pct"/>
                  <w:vMerge w:val="restar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eastAsia="zh-CN"/>
                    </w:rPr>
                  </w:pPr>
                  <w:r>
                    <w:rPr>
                      <w:rFonts w:hint="eastAsia" w:cs="Times New Roman"/>
                      <w:b w:val="0"/>
                      <w:color w:val="auto"/>
                      <w:sz w:val="18"/>
                      <w:szCs w:val="18"/>
                      <w:highlight w:val="none"/>
                      <w:lang w:val="en-US" w:eastAsia="zh-CN"/>
                    </w:rPr>
                    <w:t>1</w:t>
                  </w: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olor w:val="auto"/>
                      <w:sz w:val="18"/>
                      <w:szCs w:val="18"/>
                      <w:highlight w:val="none"/>
                      <w:lang w:val="en-US" w:eastAsia="zh-CN"/>
                    </w:rPr>
                    <w:t>东</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10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65</w:t>
                  </w:r>
                </w:p>
              </w:tc>
              <w:tc>
                <w:tcPr>
                  <w:tcW w:w="349" w:type="pct"/>
                  <w:vMerge w:val="restart"/>
                  <w:tcBorders>
                    <w:tl2br w:val="nil"/>
                    <w:tr2bl w:val="nil"/>
                  </w:tcBorders>
                  <w:vAlign w:val="center"/>
                </w:tcPr>
                <w:p>
                  <w:pPr>
                    <w:pStyle w:val="104"/>
                    <w:rPr>
                      <w:rFonts w:hint="default" w:ascii="Times New Roman" w:hAnsi="Times New Roman" w:cs="Times New Roman"/>
                      <w:b w:val="0"/>
                      <w:bCs/>
                      <w:color w:val="auto"/>
                      <w:sz w:val="18"/>
                      <w:szCs w:val="18"/>
                      <w:highlight w:val="none"/>
                    </w:rPr>
                  </w:pPr>
                  <w:r>
                    <w:rPr>
                      <w:rFonts w:hint="eastAsia" w:cs="Times New Roman"/>
                      <w:b w:val="0"/>
                      <w:bCs/>
                      <w:color w:val="auto"/>
                      <w:sz w:val="18"/>
                      <w:szCs w:val="18"/>
                      <w:highlight w:val="none"/>
                      <w:lang w:val="en-US" w:eastAsia="zh-CN"/>
                    </w:rPr>
                    <w:t>6</w:t>
                  </w:r>
                  <w:r>
                    <w:rPr>
                      <w:rFonts w:hint="default" w:ascii="Times New Roman" w:hAnsi="Times New Roman" w:cs="Times New Roman"/>
                      <w:b w:val="0"/>
                      <w:bCs/>
                      <w:color w:val="auto"/>
                      <w:sz w:val="18"/>
                      <w:szCs w:val="18"/>
                      <w:highlight w:val="none"/>
                    </w:rPr>
                    <w:t>h/d</w:t>
                  </w:r>
                </w:p>
              </w:tc>
              <w:tc>
                <w:tcPr>
                  <w:tcW w:w="281" w:type="pct"/>
                  <w:vMerge w:val="restart"/>
                  <w:tcBorders>
                    <w:tl2br w:val="nil"/>
                    <w:tr2bl w:val="nil"/>
                  </w:tcBorders>
                  <w:vAlign w:val="center"/>
                </w:tcPr>
                <w:p>
                  <w:pPr>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w:t>
                  </w:r>
                  <w:r>
                    <w:rPr>
                      <w:rFonts w:hint="eastAsia" w:cs="Times New Roman"/>
                      <w:color w:val="auto"/>
                      <w:sz w:val="18"/>
                      <w:szCs w:val="18"/>
                      <w:highlight w:val="none"/>
                      <w:lang w:val="en-US" w:eastAsia="zh-CN"/>
                    </w:rPr>
                    <w:t>6</w:t>
                  </w: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39</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东厂界</w:t>
                  </w:r>
                  <w:r>
                    <w:rPr>
                      <w:rFonts w:hint="eastAsia" w:cs="Times New Roman"/>
                      <w:b w:val="0"/>
                      <w:color w:val="auto"/>
                      <w:sz w:val="18"/>
                      <w:szCs w:val="18"/>
                      <w:highlight w:val="none"/>
                      <w:lang w:val="en-US" w:eastAsia="zh-CN"/>
                    </w:rPr>
                    <w:t>8</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2"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南</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25</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57</w:t>
                  </w:r>
                </w:p>
              </w:tc>
              <w:tc>
                <w:tcPr>
                  <w:tcW w:w="349"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31</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default" w:ascii="Times New Roman" w:hAnsi="Times New Roman" w:cs="Times New Roman"/>
                      <w:b w:val="0"/>
                      <w:color w:val="auto"/>
                      <w:sz w:val="18"/>
                      <w:szCs w:val="18"/>
                      <w:highlight w:val="none"/>
                    </w:rPr>
                    <w:t>南厂1</w:t>
                  </w:r>
                  <w:r>
                    <w:rPr>
                      <w:rFonts w:hint="eastAsia" w:cs="Times New Roman"/>
                      <w:b w:val="0"/>
                      <w:color w:val="auto"/>
                      <w:sz w:val="18"/>
                      <w:szCs w:val="18"/>
                      <w:highlight w:val="none"/>
                      <w:lang w:val="en-US" w:eastAsia="zh-CN"/>
                    </w:rPr>
                    <w:t>2</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2"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西</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340</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34</w:t>
                  </w:r>
                </w:p>
              </w:tc>
              <w:tc>
                <w:tcPr>
                  <w:tcW w:w="349"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eastAsia" w:cs="Times New Roman"/>
                      <w:b w:val="0"/>
                      <w:color w:val="auto"/>
                      <w:sz w:val="18"/>
                      <w:szCs w:val="18"/>
                      <w:highlight w:val="none"/>
                      <w:lang w:val="en-US" w:eastAsia="zh-CN"/>
                    </w:rPr>
                    <w:t>西厂42m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北</w:t>
                  </w:r>
                </w:p>
              </w:tc>
              <w:tc>
                <w:tcPr>
                  <w:tcW w:w="286"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2</w:t>
                  </w:r>
                </w:p>
              </w:tc>
              <w:tc>
                <w:tcPr>
                  <w:tcW w:w="329" w:type="pc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79</w:t>
                  </w:r>
                </w:p>
              </w:tc>
              <w:tc>
                <w:tcPr>
                  <w:tcW w:w="349"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53</w:t>
                  </w:r>
                </w:p>
              </w:tc>
              <w:tc>
                <w:tcPr>
                  <w:tcW w:w="493" w:type="pc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eastAsia" w:cs="Times New Roman"/>
                      <w:b w:val="0"/>
                      <w:color w:val="auto"/>
                      <w:sz w:val="18"/>
                      <w:szCs w:val="18"/>
                      <w:highlight w:val="none"/>
                      <w:lang w:val="en-US" w:eastAsia="zh-CN"/>
                    </w:rPr>
                    <w:t>北厂50m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213"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8</w:t>
                  </w: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车间3抛丸机</w:t>
                  </w:r>
                </w:p>
              </w:tc>
              <w:tc>
                <w:tcPr>
                  <w:tcW w:w="394"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85</w:t>
                  </w:r>
                </w:p>
              </w:tc>
              <w:tc>
                <w:tcPr>
                  <w:tcW w:w="217" w:type="pct"/>
                  <w:vMerge w:val="restar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1</w:t>
                  </w:r>
                </w:p>
              </w:tc>
              <w:tc>
                <w:tcPr>
                  <w:tcW w:w="394"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85</w:t>
                  </w:r>
                  <w:r>
                    <w:rPr>
                      <w:rFonts w:hint="eastAsia" w:cs="Times New Roman"/>
                      <w:b w:val="0"/>
                      <w:bCs/>
                      <w:color w:val="auto"/>
                      <w:sz w:val="18"/>
                      <w:szCs w:val="18"/>
                      <w:highlight w:val="none"/>
                      <w:lang w:val="en-US" w:eastAsia="zh-CN"/>
                    </w:rPr>
                    <w:t>/1</w:t>
                  </w: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340</w:t>
                  </w:r>
                </w:p>
              </w:tc>
              <w:tc>
                <w:tcPr>
                  <w:tcW w:w="217" w:type="pct"/>
                  <w:vMerge w:val="restart"/>
                  <w:tcBorders>
                    <w:tl2br w:val="nil"/>
                    <w:tr2bl w:val="nil"/>
                  </w:tcBorders>
                  <w:vAlign w:val="center"/>
                </w:tcPr>
                <w:p>
                  <w:pPr>
                    <w:pStyle w:val="104"/>
                    <w:rPr>
                      <w:rFonts w:hint="default"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15</w:t>
                  </w:r>
                </w:p>
              </w:tc>
              <w:tc>
                <w:tcPr>
                  <w:tcW w:w="221" w:type="pct"/>
                  <w:vMerge w:val="restart"/>
                  <w:tcBorders>
                    <w:tl2br w:val="nil"/>
                    <w:tr2bl w:val="nil"/>
                  </w:tcBorders>
                  <w:vAlign w:val="center"/>
                </w:tcPr>
                <w:p>
                  <w:pPr>
                    <w:pStyle w:val="104"/>
                    <w:rPr>
                      <w:rFonts w:hint="eastAsia" w:ascii="Times New Roman" w:hAnsi="Times New Roman" w:eastAsia="宋体"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1</w:t>
                  </w: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olor w:val="auto"/>
                      <w:sz w:val="18"/>
                      <w:szCs w:val="18"/>
                      <w:highlight w:val="none"/>
                      <w:lang w:val="en-US" w:eastAsia="zh-CN"/>
                    </w:rPr>
                    <w:t>东</w:t>
                  </w:r>
                </w:p>
              </w:tc>
              <w:tc>
                <w:tcPr>
                  <w:tcW w:w="286" w:type="pct"/>
                  <w:tcBorders>
                    <w:tl2br w:val="nil"/>
                    <w:tr2bl w:val="nil"/>
                  </w:tcBorders>
                  <w:vAlign w:val="center"/>
                </w:tcPr>
                <w:p>
                  <w:pPr>
                    <w:pStyle w:val="104"/>
                    <w:rPr>
                      <w:rFonts w:hint="default"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10</w:t>
                  </w:r>
                </w:p>
              </w:tc>
              <w:tc>
                <w:tcPr>
                  <w:tcW w:w="329" w:type="pct"/>
                  <w:tcBorders>
                    <w:tl2br w:val="nil"/>
                    <w:tr2bl w:val="nil"/>
                  </w:tcBorders>
                  <w:vAlign w:val="center"/>
                </w:tcPr>
                <w:p>
                  <w:pPr>
                    <w:pStyle w:val="104"/>
                    <w:rPr>
                      <w:rFonts w:hint="default"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65</w:t>
                  </w:r>
                </w:p>
              </w:tc>
              <w:tc>
                <w:tcPr>
                  <w:tcW w:w="349" w:type="pct"/>
                  <w:vMerge w:val="restart"/>
                  <w:tcBorders>
                    <w:tl2br w:val="nil"/>
                    <w:tr2bl w:val="nil"/>
                  </w:tcBorders>
                  <w:vAlign w:val="center"/>
                </w:tcPr>
                <w:p>
                  <w:pPr>
                    <w:pStyle w:val="104"/>
                    <w:rPr>
                      <w:rFonts w:hint="default" w:ascii="Times New Roman" w:hAnsi="Times New Roman" w:cs="Times New Roman"/>
                      <w:b w:val="0"/>
                      <w:color w:val="auto"/>
                      <w:sz w:val="18"/>
                      <w:szCs w:val="18"/>
                      <w:highlight w:val="none"/>
                    </w:rPr>
                  </w:pPr>
                  <w:r>
                    <w:rPr>
                      <w:rFonts w:hint="eastAsia" w:cs="Times New Roman"/>
                      <w:b w:val="0"/>
                      <w:bCs/>
                      <w:color w:val="auto"/>
                      <w:sz w:val="18"/>
                      <w:szCs w:val="18"/>
                      <w:highlight w:val="none"/>
                      <w:lang w:val="en-US" w:eastAsia="zh-CN"/>
                    </w:rPr>
                    <w:t>6</w:t>
                  </w:r>
                  <w:r>
                    <w:rPr>
                      <w:rFonts w:hint="default" w:ascii="Times New Roman" w:hAnsi="Times New Roman" w:cs="Times New Roman"/>
                      <w:b w:val="0"/>
                      <w:bCs/>
                      <w:color w:val="auto"/>
                      <w:sz w:val="18"/>
                      <w:szCs w:val="18"/>
                      <w:highlight w:val="none"/>
                    </w:rPr>
                    <w:t>h/d</w:t>
                  </w:r>
                </w:p>
              </w:tc>
              <w:tc>
                <w:tcPr>
                  <w:tcW w:w="281" w:type="pct"/>
                  <w:vMerge w:val="restart"/>
                  <w:tcBorders>
                    <w:tl2br w:val="nil"/>
                    <w:tr2bl w:val="nil"/>
                  </w:tcBorders>
                  <w:vAlign w:val="center"/>
                </w:tcPr>
                <w:p>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26</w:t>
                  </w:r>
                </w:p>
              </w:tc>
              <w:tc>
                <w:tcPr>
                  <w:tcW w:w="511" w:type="dxa"/>
                  <w:tcBorders>
                    <w:tl2br w:val="nil"/>
                    <w:tr2bl w:val="nil"/>
                  </w:tcBorders>
                  <w:vAlign w:val="center"/>
                </w:tcPr>
                <w:p>
                  <w:pPr>
                    <w:adjustRightInd w:val="0"/>
                    <w:jc w:val="center"/>
                    <w:textAlignment w:val="baseline"/>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39</w:t>
                  </w:r>
                </w:p>
              </w:tc>
              <w:tc>
                <w:tcPr>
                  <w:tcW w:w="493" w:type="pct"/>
                  <w:tcBorders>
                    <w:tl2br w:val="nil"/>
                    <w:tr2bl w:val="nil"/>
                  </w:tcBorders>
                  <w:vAlign w:val="center"/>
                </w:tcPr>
                <w:p>
                  <w:pPr>
                    <w:pStyle w:val="104"/>
                    <w:rPr>
                      <w:rFonts w:hint="eastAsia" w:cs="Times New Roman"/>
                      <w:b w:val="0"/>
                      <w:color w:val="auto"/>
                      <w:sz w:val="18"/>
                      <w:szCs w:val="18"/>
                      <w:highlight w:val="none"/>
                      <w:lang w:val="en-US" w:eastAsia="zh-CN"/>
                    </w:rPr>
                  </w:pPr>
                  <w:r>
                    <w:rPr>
                      <w:rFonts w:hint="default" w:ascii="Times New Roman" w:hAnsi="Times New Roman" w:cs="Times New Roman"/>
                      <w:b w:val="0"/>
                      <w:color w:val="auto"/>
                      <w:sz w:val="18"/>
                      <w:szCs w:val="18"/>
                      <w:highlight w:val="none"/>
                    </w:rPr>
                    <w:t>东厂界</w:t>
                  </w:r>
                  <w:r>
                    <w:rPr>
                      <w:rFonts w:hint="eastAsia" w:cs="Times New Roman"/>
                      <w:b w:val="0"/>
                      <w:color w:val="auto"/>
                      <w:sz w:val="18"/>
                      <w:szCs w:val="18"/>
                      <w:highlight w:val="none"/>
                      <w:lang w:val="en-US" w:eastAsia="zh-CN"/>
                    </w:rPr>
                    <w:t>8</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南</w:t>
                  </w:r>
                </w:p>
              </w:tc>
              <w:tc>
                <w:tcPr>
                  <w:tcW w:w="286" w:type="pct"/>
                  <w:tcBorders>
                    <w:tl2br w:val="nil"/>
                    <w:tr2bl w:val="nil"/>
                  </w:tcBorders>
                  <w:vAlign w:val="center"/>
                </w:tcPr>
                <w:p>
                  <w:pPr>
                    <w:pStyle w:val="104"/>
                    <w:rPr>
                      <w:rFonts w:hint="default"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14</w:t>
                  </w:r>
                </w:p>
              </w:tc>
              <w:tc>
                <w:tcPr>
                  <w:tcW w:w="329" w:type="pct"/>
                  <w:tcBorders>
                    <w:tl2br w:val="nil"/>
                    <w:tr2bl w:val="nil"/>
                  </w:tcBorders>
                  <w:vAlign w:val="center"/>
                </w:tcPr>
                <w:p>
                  <w:pPr>
                    <w:pStyle w:val="104"/>
                    <w:rPr>
                      <w:rFonts w:hint="default"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62</w:t>
                  </w:r>
                </w:p>
              </w:tc>
              <w:tc>
                <w:tcPr>
                  <w:tcW w:w="349"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36</w:t>
                  </w:r>
                </w:p>
              </w:tc>
              <w:tc>
                <w:tcPr>
                  <w:tcW w:w="493" w:type="pct"/>
                  <w:tcBorders>
                    <w:tl2br w:val="nil"/>
                    <w:tr2bl w:val="nil"/>
                  </w:tcBorders>
                  <w:vAlign w:val="center"/>
                </w:tcPr>
                <w:p>
                  <w:pPr>
                    <w:pStyle w:val="104"/>
                    <w:rPr>
                      <w:rFonts w:hint="eastAsia" w:cs="Times New Roman"/>
                      <w:b w:val="0"/>
                      <w:color w:val="auto"/>
                      <w:sz w:val="18"/>
                      <w:szCs w:val="18"/>
                      <w:highlight w:val="none"/>
                      <w:lang w:val="en-US" w:eastAsia="zh-CN"/>
                    </w:rPr>
                  </w:pPr>
                  <w:r>
                    <w:rPr>
                      <w:rFonts w:hint="default" w:ascii="Times New Roman" w:hAnsi="Times New Roman" w:cs="Times New Roman"/>
                      <w:b w:val="0"/>
                      <w:color w:val="auto"/>
                      <w:sz w:val="18"/>
                      <w:szCs w:val="18"/>
                      <w:highlight w:val="none"/>
                    </w:rPr>
                    <w:t>南厂1</w:t>
                  </w:r>
                  <w:r>
                    <w:rPr>
                      <w:rFonts w:hint="eastAsia" w:cs="Times New Roman"/>
                      <w:b w:val="0"/>
                      <w:color w:val="auto"/>
                      <w:sz w:val="18"/>
                      <w:szCs w:val="18"/>
                      <w:highlight w:val="none"/>
                      <w:lang w:val="en-US" w:eastAsia="zh-CN"/>
                    </w:rPr>
                    <w:t>2</w:t>
                  </w:r>
                  <w:r>
                    <w:rPr>
                      <w:rFonts w:hint="default" w:ascii="Times New Roman" w:hAnsi="Times New Roman" w:cs="Times New Roman"/>
                      <w:b w:val="0"/>
                      <w:color w:val="auto"/>
                      <w:sz w:val="18"/>
                      <w:szCs w:val="18"/>
                      <w:highlight w:val="none"/>
                    </w:rPr>
                    <w:t>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西</w:t>
                  </w:r>
                </w:p>
              </w:tc>
              <w:tc>
                <w:tcPr>
                  <w:tcW w:w="286" w:type="pct"/>
                  <w:tcBorders>
                    <w:tl2br w:val="nil"/>
                    <w:tr2bl w:val="nil"/>
                  </w:tcBorders>
                  <w:vAlign w:val="center"/>
                </w:tcPr>
                <w:p>
                  <w:pPr>
                    <w:pStyle w:val="104"/>
                    <w:rPr>
                      <w:rFonts w:hint="default"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340</w:t>
                  </w:r>
                </w:p>
              </w:tc>
              <w:tc>
                <w:tcPr>
                  <w:tcW w:w="329" w:type="pct"/>
                  <w:tcBorders>
                    <w:tl2br w:val="nil"/>
                    <w:tr2bl w:val="nil"/>
                  </w:tcBorders>
                  <w:vAlign w:val="center"/>
                </w:tcPr>
                <w:p>
                  <w:pPr>
                    <w:pStyle w:val="104"/>
                    <w:rPr>
                      <w:rFonts w:hint="default"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34</w:t>
                  </w:r>
                </w:p>
              </w:tc>
              <w:tc>
                <w:tcPr>
                  <w:tcW w:w="349"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8</w:t>
                  </w:r>
                </w:p>
              </w:tc>
              <w:tc>
                <w:tcPr>
                  <w:tcW w:w="493" w:type="pct"/>
                  <w:tcBorders>
                    <w:tl2br w:val="nil"/>
                    <w:tr2bl w:val="nil"/>
                  </w:tcBorders>
                  <w:vAlign w:val="center"/>
                </w:tcPr>
                <w:p>
                  <w:pPr>
                    <w:pStyle w:val="104"/>
                    <w:rPr>
                      <w:rFonts w:hint="eastAsia"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西厂42m</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trPr>
              <w:tc>
                <w:tcPr>
                  <w:tcW w:w="213"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172"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94"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320"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17"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21"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6" w:type="pct"/>
                  <w:tcBorders>
                    <w:tl2br w:val="nil"/>
                    <w:tr2bl w:val="nil"/>
                  </w:tcBorders>
                  <w:vAlign w:val="center"/>
                </w:tcPr>
                <w:p>
                  <w:pPr>
                    <w:adjustRightInd w:val="0"/>
                    <w:jc w:val="center"/>
                    <w:textAlignment w:val="baseline"/>
                    <w:rPr>
                      <w:rFonts w:hint="eastAsia" w:cs="Times New Roman"/>
                      <w:b w:val="0"/>
                      <w:color w:val="auto"/>
                      <w:sz w:val="18"/>
                      <w:szCs w:val="18"/>
                      <w:highlight w:val="none"/>
                      <w:lang w:val="en-US" w:eastAsia="zh-CN"/>
                    </w:rPr>
                  </w:pPr>
                  <w:r>
                    <w:rPr>
                      <w:rFonts w:hint="eastAsia" w:cs="Times New Roman"/>
                      <w:color w:val="auto"/>
                      <w:sz w:val="18"/>
                      <w:szCs w:val="18"/>
                      <w:highlight w:val="none"/>
                      <w:lang w:val="en-US" w:eastAsia="zh-CN"/>
                    </w:rPr>
                    <w:t>北</w:t>
                  </w:r>
                </w:p>
              </w:tc>
              <w:tc>
                <w:tcPr>
                  <w:tcW w:w="286" w:type="pct"/>
                  <w:tcBorders>
                    <w:tl2br w:val="nil"/>
                    <w:tr2bl w:val="nil"/>
                  </w:tcBorders>
                  <w:vAlign w:val="center"/>
                </w:tcPr>
                <w:p>
                  <w:pPr>
                    <w:pStyle w:val="104"/>
                    <w:rPr>
                      <w:rFonts w:hint="default"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13</w:t>
                  </w:r>
                </w:p>
              </w:tc>
              <w:tc>
                <w:tcPr>
                  <w:tcW w:w="329" w:type="pct"/>
                  <w:tcBorders>
                    <w:tl2br w:val="nil"/>
                    <w:tr2bl w:val="nil"/>
                  </w:tcBorders>
                  <w:vAlign w:val="center"/>
                </w:tcPr>
                <w:p>
                  <w:pPr>
                    <w:pStyle w:val="104"/>
                    <w:rPr>
                      <w:rFonts w:hint="default"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63</w:t>
                  </w:r>
                </w:p>
              </w:tc>
              <w:tc>
                <w:tcPr>
                  <w:tcW w:w="349" w:type="pct"/>
                  <w:vMerge w:val="continue"/>
                  <w:tcBorders>
                    <w:tl2br w:val="nil"/>
                    <w:tr2bl w:val="nil"/>
                  </w:tcBorders>
                  <w:vAlign w:val="center"/>
                </w:tcPr>
                <w:p>
                  <w:pPr>
                    <w:pStyle w:val="104"/>
                    <w:rPr>
                      <w:rFonts w:hint="default" w:ascii="Times New Roman" w:hAnsi="Times New Roman" w:cs="Times New Roman"/>
                      <w:b w:val="0"/>
                      <w:color w:val="auto"/>
                      <w:sz w:val="18"/>
                      <w:szCs w:val="18"/>
                      <w:highlight w:val="none"/>
                    </w:rPr>
                  </w:pPr>
                </w:p>
              </w:tc>
              <w:tc>
                <w:tcPr>
                  <w:tcW w:w="281" w:type="pct"/>
                  <w:vMerge w:val="continue"/>
                  <w:tcBorders>
                    <w:tl2br w:val="nil"/>
                    <w:tr2bl w:val="nil"/>
                  </w:tcBorders>
                  <w:vAlign w:val="center"/>
                </w:tcPr>
                <w:p>
                  <w:pPr>
                    <w:jc w:val="center"/>
                    <w:rPr>
                      <w:rFonts w:hint="default" w:ascii="Times New Roman" w:hAnsi="Times New Roman" w:cs="Times New Roman"/>
                      <w:color w:val="auto"/>
                      <w:sz w:val="18"/>
                      <w:szCs w:val="18"/>
                      <w:highlight w:val="none"/>
                    </w:rPr>
                  </w:pPr>
                </w:p>
              </w:tc>
              <w:tc>
                <w:tcPr>
                  <w:tcW w:w="511" w:type="dxa"/>
                  <w:tcBorders>
                    <w:tl2br w:val="nil"/>
                    <w:tr2bl w:val="nil"/>
                  </w:tcBorders>
                  <w:vAlign w:val="center"/>
                </w:tcPr>
                <w:p>
                  <w:pPr>
                    <w:adjustRightInd w:val="0"/>
                    <w:jc w:val="center"/>
                    <w:textAlignment w:val="baseline"/>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37</w:t>
                  </w:r>
                </w:p>
              </w:tc>
              <w:tc>
                <w:tcPr>
                  <w:tcW w:w="493" w:type="pct"/>
                  <w:tcBorders>
                    <w:tl2br w:val="nil"/>
                    <w:tr2bl w:val="nil"/>
                  </w:tcBorders>
                  <w:vAlign w:val="center"/>
                </w:tcPr>
                <w:p>
                  <w:pPr>
                    <w:pStyle w:val="104"/>
                    <w:rPr>
                      <w:rFonts w:hint="eastAsia" w:cs="Times New Roman"/>
                      <w:b w:val="0"/>
                      <w:color w:val="auto"/>
                      <w:sz w:val="18"/>
                      <w:szCs w:val="18"/>
                      <w:highlight w:val="none"/>
                      <w:lang w:val="en-US" w:eastAsia="zh-CN"/>
                    </w:rPr>
                  </w:pPr>
                  <w:r>
                    <w:rPr>
                      <w:rFonts w:hint="eastAsia" w:cs="Times New Roman"/>
                      <w:b w:val="0"/>
                      <w:color w:val="auto"/>
                      <w:sz w:val="18"/>
                      <w:szCs w:val="18"/>
                      <w:highlight w:val="none"/>
                      <w:lang w:val="en-US" w:eastAsia="zh-CN"/>
                    </w:rPr>
                    <w:t>北厂50m</w:t>
                  </w:r>
                </w:p>
              </w:tc>
            </w:tr>
          </w:tbl>
          <w:p>
            <w:pPr>
              <w:spacing w:line="360" w:lineRule="auto"/>
              <w:rPr>
                <w:rFonts w:hint="default" w:ascii="Times New Roman" w:hAnsi="Times New Roman" w:cs="Times New Roman"/>
                <w:b/>
                <w:bCs/>
                <w:color w:val="auto"/>
                <w:kern w:val="2"/>
                <w:sz w:val="21"/>
                <w:szCs w:val="21"/>
                <w:highlight w:val="none"/>
                <w:lang w:val="en-GB"/>
              </w:rPr>
            </w:pPr>
            <w:r>
              <w:rPr>
                <w:rFonts w:hint="default" w:ascii="Times New Roman" w:hAnsi="Times New Roman" w:cs="Times New Roman"/>
                <w:color w:val="auto"/>
                <w:sz w:val="21"/>
                <w:szCs w:val="21"/>
                <w:highlight w:val="none"/>
              </w:rPr>
              <w:t>注*：以</w:t>
            </w:r>
            <w:r>
              <w:rPr>
                <w:rFonts w:hint="eastAsia" w:cs="Times New Roman"/>
                <w:color w:val="auto"/>
                <w:sz w:val="21"/>
                <w:szCs w:val="21"/>
                <w:highlight w:val="none"/>
                <w:lang w:val="en-US" w:eastAsia="zh-CN"/>
              </w:rPr>
              <w:t>生产</w:t>
            </w:r>
            <w:r>
              <w:rPr>
                <w:rFonts w:hint="default" w:ascii="Times New Roman" w:hAnsi="Times New Roman" w:cs="Times New Roman"/>
                <w:color w:val="auto"/>
                <w:sz w:val="21"/>
                <w:szCs w:val="21"/>
                <w:highlight w:val="none"/>
              </w:rPr>
              <w:t>车间</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西南角（E：117°2</w:t>
            </w:r>
            <w:r>
              <w:rPr>
                <w:rFonts w:hint="eastAsia"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′2</w:t>
            </w:r>
            <w:r>
              <w:rPr>
                <w:rFonts w:hint="eastAsia" w:cs="Times New Roman"/>
                <w:color w:val="auto"/>
                <w:sz w:val="21"/>
                <w:szCs w:val="21"/>
                <w:highlight w:val="none"/>
                <w:lang w:val="en-US" w:eastAsia="zh-CN"/>
              </w:rPr>
              <w:t>4.007</w:t>
            </w:r>
            <w:r>
              <w:rPr>
                <w:rFonts w:hint="default" w:ascii="Times New Roman" w:hAnsi="Times New Roman" w:cs="Times New Roman"/>
                <w:color w:val="auto"/>
                <w:sz w:val="21"/>
                <w:szCs w:val="21"/>
                <w:highlight w:val="none"/>
              </w:rPr>
              <w:t>″，N：3</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°4</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′5.</w:t>
            </w:r>
            <w:r>
              <w:rPr>
                <w:rFonts w:hint="eastAsia" w:cs="Times New Roman"/>
                <w:color w:val="auto"/>
                <w:sz w:val="21"/>
                <w:szCs w:val="21"/>
                <w:highlight w:val="none"/>
                <w:lang w:val="en-US" w:eastAsia="zh-CN"/>
              </w:rPr>
              <w:t>950</w:t>
            </w:r>
            <w:r>
              <w:rPr>
                <w:rFonts w:hint="default" w:ascii="Times New Roman" w:hAnsi="Times New Roman" w:cs="Times New Roman"/>
                <w:color w:val="auto"/>
                <w:sz w:val="21"/>
                <w:szCs w:val="21"/>
                <w:highlight w:val="none"/>
              </w:rPr>
              <w:t>″）为坐标原点，坐标为（0,0,0）；以厂区南厂界为X轴，以院区西厂界为Y轴，以垂向为Z轴建立坐标系，下同。</w:t>
            </w:r>
          </w:p>
          <w:p>
            <w:pPr>
              <w:spacing w:line="360" w:lineRule="auto"/>
              <w:jc w:val="center"/>
              <w:rPr>
                <w:rFonts w:hint="default" w:ascii="Times New Roman" w:hAnsi="Times New Roman" w:cs="Times New Roman"/>
                <w:b/>
                <w:bCs/>
                <w:color w:val="auto"/>
                <w:kern w:val="2"/>
                <w:sz w:val="21"/>
                <w:szCs w:val="21"/>
                <w:highlight w:val="none"/>
                <w:lang w:val="en-GB"/>
              </w:rPr>
            </w:pPr>
            <w:r>
              <w:rPr>
                <w:rFonts w:hint="default" w:ascii="Times New Roman" w:hAnsi="Times New Roman" w:cs="Times New Roman"/>
                <w:b/>
                <w:bCs/>
                <w:color w:val="auto"/>
                <w:kern w:val="2"/>
                <w:sz w:val="21"/>
                <w:szCs w:val="21"/>
                <w:highlight w:val="none"/>
                <w:lang w:val="en-GB"/>
              </w:rPr>
              <w:t>表4-</w:t>
            </w:r>
            <w:r>
              <w:rPr>
                <w:rFonts w:hint="default" w:ascii="Times New Roman" w:hAnsi="Times New Roman" w:cs="Times New Roman"/>
                <w:b/>
                <w:bCs/>
                <w:color w:val="auto"/>
                <w:kern w:val="2"/>
                <w:sz w:val="21"/>
                <w:szCs w:val="21"/>
                <w:highlight w:val="none"/>
              </w:rPr>
              <w:t>2</w:t>
            </w:r>
            <w:r>
              <w:rPr>
                <w:rFonts w:hint="eastAsia" w:cs="Times New Roman"/>
                <w:b/>
                <w:bCs/>
                <w:color w:val="auto"/>
                <w:kern w:val="2"/>
                <w:sz w:val="21"/>
                <w:szCs w:val="21"/>
                <w:highlight w:val="none"/>
                <w:lang w:val="en-US" w:eastAsia="zh-CN"/>
              </w:rPr>
              <w:t>7</w:t>
            </w:r>
            <w:r>
              <w:rPr>
                <w:rFonts w:hint="default" w:ascii="Times New Roman" w:hAnsi="Times New Roman" w:cs="Times New Roman"/>
                <w:b/>
                <w:bCs/>
                <w:color w:val="auto"/>
                <w:kern w:val="2"/>
                <w:sz w:val="21"/>
                <w:szCs w:val="21"/>
                <w:highlight w:val="none"/>
                <w:lang w:val="en-GB"/>
              </w:rPr>
              <w:t xml:space="preserve"> 室外噪声源强调查清单</w:t>
            </w:r>
          </w:p>
          <w:tbl>
            <w:tblPr>
              <w:tblStyle w:val="29"/>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493"/>
              <w:gridCol w:w="1398"/>
              <w:gridCol w:w="1053"/>
              <w:gridCol w:w="619"/>
              <w:gridCol w:w="498"/>
              <w:gridCol w:w="570"/>
              <w:gridCol w:w="1028"/>
              <w:gridCol w:w="498"/>
              <w:gridCol w:w="498"/>
              <w:gridCol w:w="1702"/>
              <w:gridCol w:w="7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72"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序号</w:t>
                  </w:r>
                </w:p>
              </w:tc>
              <w:tc>
                <w:tcPr>
                  <w:tcW w:w="770"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声源名称</w:t>
                  </w:r>
                </w:p>
              </w:tc>
              <w:tc>
                <w:tcPr>
                  <w:tcW w:w="580"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型号</w:t>
                  </w:r>
                </w:p>
              </w:tc>
              <w:tc>
                <w:tcPr>
                  <w:tcW w:w="929" w:type="pct"/>
                  <w:gridSpan w:val="3"/>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空间相对位置/m</w:t>
                  </w:r>
                </w:p>
              </w:tc>
              <w:tc>
                <w:tcPr>
                  <w:tcW w:w="566"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单台设备声源源强</w:t>
                  </w:r>
                </w:p>
              </w:tc>
              <w:tc>
                <w:tcPr>
                  <w:tcW w:w="274"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衰减量</w:t>
                  </w:r>
                </w:p>
              </w:tc>
              <w:tc>
                <w:tcPr>
                  <w:tcW w:w="274"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设备数量</w:t>
                  </w:r>
                </w:p>
              </w:tc>
              <w:tc>
                <w:tcPr>
                  <w:tcW w:w="937"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声源控制措施</w:t>
                  </w:r>
                </w:p>
              </w:tc>
              <w:tc>
                <w:tcPr>
                  <w:tcW w:w="394" w:type="pct"/>
                  <w:vMerge w:val="restar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运行时段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jc w:val="center"/>
              </w:trPr>
              <w:tc>
                <w:tcPr>
                  <w:tcW w:w="272"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p>
              </w:tc>
              <w:tc>
                <w:tcPr>
                  <w:tcW w:w="770"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p>
              </w:tc>
              <w:tc>
                <w:tcPr>
                  <w:tcW w:w="580"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p>
              </w:tc>
              <w:tc>
                <w:tcPr>
                  <w:tcW w:w="341"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X</w:t>
                  </w:r>
                </w:p>
              </w:tc>
              <w:tc>
                <w:tcPr>
                  <w:tcW w:w="274"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Y</w:t>
                  </w:r>
                </w:p>
              </w:tc>
              <w:tc>
                <w:tcPr>
                  <w:tcW w:w="313"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Z</w:t>
                  </w:r>
                </w:p>
              </w:tc>
              <w:tc>
                <w:tcPr>
                  <w:tcW w:w="566"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声压级/距声源距离dB（A）/m</w:t>
                  </w:r>
                </w:p>
              </w:tc>
              <w:tc>
                <w:tcPr>
                  <w:tcW w:w="274"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p>
              </w:tc>
              <w:tc>
                <w:tcPr>
                  <w:tcW w:w="274"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p>
              </w:tc>
              <w:tc>
                <w:tcPr>
                  <w:tcW w:w="937"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p>
              </w:tc>
              <w:tc>
                <w:tcPr>
                  <w:tcW w:w="394" w:type="pct"/>
                  <w:vMerge w:val="continue"/>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272"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1</w:t>
                  </w:r>
                </w:p>
              </w:tc>
              <w:tc>
                <w:tcPr>
                  <w:tcW w:w="770" w:type="pct"/>
                  <w:tcBorders>
                    <w:tl2br w:val="nil"/>
                    <w:tr2bl w:val="nil"/>
                  </w:tcBorders>
                  <w:vAlign w:val="center"/>
                </w:tcPr>
                <w:p>
                  <w:pPr>
                    <w:pStyle w:val="60"/>
                    <w:spacing w:before="24" w:after="24"/>
                    <w:ind w:firstLine="0" w:firstLineChars="0"/>
                    <w:rPr>
                      <w:rFonts w:hint="default" w:ascii="Times New Roman" w:hAnsi="Times New Roman" w:eastAsia="宋体" w:cs="Times New Roman"/>
                      <w:color w:val="auto"/>
                      <w:kern w:val="44"/>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1#布袋除尘器+</w:t>
                  </w:r>
                  <w:r>
                    <w:rPr>
                      <w:rFonts w:hint="eastAsia" w:ascii="Times New Roman"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风机</w:t>
                  </w:r>
                </w:p>
              </w:tc>
              <w:tc>
                <w:tcPr>
                  <w:tcW w:w="580" w:type="pct"/>
                  <w:tcBorders>
                    <w:tl2br w:val="nil"/>
                    <w:tr2bl w:val="nil"/>
                  </w:tcBorders>
                  <w:vAlign w:val="center"/>
                </w:tcPr>
                <w:p>
                  <w:pPr>
                    <w:pStyle w:val="60"/>
                    <w:spacing w:before="24" w:after="24"/>
                    <w:ind w:firstLine="0" w:firstLineChars="0"/>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风量</w:t>
                  </w:r>
                  <w:r>
                    <w:rPr>
                      <w:rFonts w:hint="eastAsia" w:ascii="Times New Roman" w:cs="Times New Roman"/>
                      <w:color w:val="auto"/>
                      <w:sz w:val="21"/>
                      <w:szCs w:val="21"/>
                      <w:highlight w:val="none"/>
                      <w:lang w:val="en-US" w:eastAsia="zh-CN"/>
                    </w:rPr>
                    <w:t>6000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341"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160</w:t>
                  </w:r>
                </w:p>
              </w:tc>
              <w:tc>
                <w:tcPr>
                  <w:tcW w:w="274"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71</w:t>
                  </w:r>
                </w:p>
              </w:tc>
              <w:tc>
                <w:tcPr>
                  <w:tcW w:w="313" w:type="pc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1</w:t>
                  </w:r>
                </w:p>
              </w:tc>
              <w:tc>
                <w:tcPr>
                  <w:tcW w:w="566"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eastAsia" w:cs="Times New Roman"/>
                      <w:color w:val="auto"/>
                      <w:kern w:val="44"/>
                      <w:sz w:val="21"/>
                      <w:szCs w:val="21"/>
                      <w:highlight w:val="none"/>
                      <w:lang w:val="en-US" w:eastAsia="zh-CN"/>
                    </w:rPr>
                    <w:t>80</w:t>
                  </w:r>
                  <w:r>
                    <w:rPr>
                      <w:rFonts w:hint="default" w:ascii="Times New Roman" w:hAnsi="Times New Roman" w:cs="Times New Roman"/>
                      <w:color w:val="auto"/>
                      <w:kern w:val="44"/>
                      <w:sz w:val="21"/>
                      <w:szCs w:val="21"/>
                      <w:highlight w:val="none"/>
                    </w:rPr>
                    <w:t>/1</w:t>
                  </w:r>
                </w:p>
              </w:tc>
              <w:tc>
                <w:tcPr>
                  <w:tcW w:w="274" w:type="pct"/>
                  <w:tcBorders>
                    <w:tl2br w:val="nil"/>
                    <w:tr2bl w:val="nil"/>
                  </w:tcBorders>
                  <w:shd w:val="clear" w:color="auto" w:fill="auto"/>
                  <w:vAlign w:val="center"/>
                </w:tcPr>
                <w:p>
                  <w:pPr>
                    <w:adjustRightInd w:val="0"/>
                    <w:jc w:val="center"/>
                    <w:textAlignment w:val="baseline"/>
                    <w:rPr>
                      <w:rFonts w:hint="default"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20</w:t>
                  </w:r>
                </w:p>
              </w:tc>
              <w:tc>
                <w:tcPr>
                  <w:tcW w:w="274"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1</w:t>
                  </w:r>
                </w:p>
              </w:tc>
              <w:tc>
                <w:tcPr>
                  <w:tcW w:w="937" w:type="pct"/>
                  <w:vMerge w:val="restart"/>
                  <w:tcBorders>
                    <w:tl2br w:val="nil"/>
                    <w:tr2bl w:val="nil"/>
                  </w:tcBorders>
                  <w:vAlign w:val="center"/>
                </w:tcPr>
                <w:p>
                  <w:pPr>
                    <w:adjustRightInd w:val="0"/>
                    <w:textAlignment w:val="baseline"/>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选用低噪声设备、基础减振、风机设有隔声罩、隔声罩内附隔音棉、</w:t>
                  </w:r>
                  <w:r>
                    <w:rPr>
                      <w:rFonts w:hint="default" w:ascii="Times New Roman" w:hAnsi="Times New Roman" w:cs="Times New Roman"/>
                      <w:color w:val="auto"/>
                      <w:sz w:val="21"/>
                      <w:szCs w:val="21"/>
                      <w:highlight w:val="none"/>
                    </w:rPr>
                    <w:t>风机进、出风管道接口采用软管相连。</w:t>
                  </w:r>
                </w:p>
              </w:tc>
              <w:tc>
                <w:tcPr>
                  <w:tcW w:w="394"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eastAsia" w:cs="Times New Roman"/>
                      <w:color w:val="auto"/>
                      <w:kern w:val="44"/>
                      <w:sz w:val="21"/>
                      <w:szCs w:val="21"/>
                      <w:highlight w:val="none"/>
                      <w:lang w:val="en-US" w:eastAsia="zh-CN"/>
                    </w:rPr>
                    <w:t>6</w:t>
                  </w:r>
                  <w:r>
                    <w:rPr>
                      <w:rFonts w:hint="default" w:ascii="Times New Roman" w:hAnsi="Times New Roman" w:cs="Times New Roman"/>
                      <w:color w:val="auto"/>
                      <w:kern w:val="44"/>
                      <w:sz w:val="21"/>
                      <w:szCs w:val="21"/>
                      <w:highlight w:val="none"/>
                    </w:rPr>
                    <w:t>h/d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272" w:type="pc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2</w:t>
                  </w:r>
                </w:p>
              </w:tc>
              <w:tc>
                <w:tcPr>
                  <w:tcW w:w="770" w:type="pct"/>
                  <w:tcBorders>
                    <w:tl2br w:val="nil"/>
                    <w:tr2bl w:val="nil"/>
                  </w:tcBorders>
                  <w:vAlign w:val="center"/>
                </w:tcPr>
                <w:p>
                  <w:pPr>
                    <w:pStyle w:val="60"/>
                    <w:spacing w:before="24" w:after="24"/>
                    <w:ind w:firstLine="0" w:firstLineChars="0"/>
                    <w:rPr>
                      <w:rFonts w:hint="default" w:ascii="Times New Roman" w:hAnsi="Times New Roman" w:cs="Times New Roman"/>
                      <w:color w:val="auto"/>
                      <w:kern w:val="44"/>
                      <w:sz w:val="21"/>
                      <w:szCs w:val="21"/>
                      <w:highlight w:val="none"/>
                    </w:rPr>
                  </w:pPr>
                  <w:r>
                    <w:rPr>
                      <w:rFonts w:hint="eastAsia" w:ascii="Times New Roman" w:hAnsi="Times New Roman" w:eastAsia="宋体" w:cs="Times New Roman"/>
                      <w:color w:val="auto"/>
                      <w:sz w:val="21"/>
                      <w:szCs w:val="21"/>
                      <w:highlight w:val="none"/>
                      <w:lang w:val="en-US" w:eastAsia="zh-CN"/>
                    </w:rPr>
                    <w:t>2#布袋除尘器+</w:t>
                  </w:r>
                  <w:r>
                    <w:rPr>
                      <w:rFonts w:hint="eastAsia" w:ascii="Times New Roman"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风机</w:t>
                  </w:r>
                </w:p>
              </w:tc>
              <w:tc>
                <w:tcPr>
                  <w:tcW w:w="580" w:type="pct"/>
                  <w:tcBorders>
                    <w:tl2br w:val="nil"/>
                    <w:tr2bl w:val="nil"/>
                  </w:tcBorders>
                  <w:vAlign w:val="center"/>
                </w:tcPr>
                <w:p>
                  <w:pPr>
                    <w:spacing w:before="24" w:after="24"/>
                    <w:ind w:firstLine="0" w:firstLineChars="0"/>
                    <w:jc w:val="center"/>
                    <w:rPr>
                      <w:rFonts w:hint="default" w:ascii="Times New Roman" w:hAnsi="Times New Roman" w:cs="Times New Roman"/>
                      <w:color w:val="auto"/>
                      <w:kern w:val="44"/>
                      <w:sz w:val="21"/>
                      <w:szCs w:val="21"/>
                      <w:highlight w:val="none"/>
                    </w:rPr>
                  </w:pPr>
                  <w:r>
                    <w:rPr>
                      <w:rFonts w:hint="eastAsia" w:ascii="Times New Roman" w:hAnsi="Times New Roman" w:eastAsia="宋体" w:cs="Times New Roman"/>
                      <w:color w:val="auto"/>
                      <w:sz w:val="21"/>
                      <w:szCs w:val="21"/>
                      <w:highlight w:val="none"/>
                      <w:lang w:val="en-US" w:eastAsia="zh-CN"/>
                    </w:rPr>
                    <w:t>风量</w:t>
                  </w:r>
                  <w:r>
                    <w:rPr>
                      <w:rFonts w:hint="eastAsia" w:cs="Times New Roman"/>
                      <w:color w:val="auto"/>
                      <w:sz w:val="21"/>
                      <w:szCs w:val="21"/>
                      <w:highlight w:val="none"/>
                      <w:lang w:val="en-US" w:eastAsia="zh-CN"/>
                    </w:rPr>
                    <w:t>8000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341"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160</w:t>
                  </w:r>
                </w:p>
              </w:tc>
              <w:tc>
                <w:tcPr>
                  <w:tcW w:w="274"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28</w:t>
                  </w:r>
                </w:p>
              </w:tc>
              <w:tc>
                <w:tcPr>
                  <w:tcW w:w="313" w:type="pc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1</w:t>
                  </w:r>
                </w:p>
              </w:tc>
              <w:tc>
                <w:tcPr>
                  <w:tcW w:w="566" w:type="pct"/>
                  <w:tcBorders>
                    <w:tl2br w:val="nil"/>
                    <w:tr2bl w:val="nil"/>
                  </w:tcBorders>
                  <w:vAlign w:val="center"/>
                </w:tcPr>
                <w:p>
                  <w:pPr>
                    <w:adjustRightInd w:val="0"/>
                    <w:jc w:val="center"/>
                    <w:textAlignment w:val="baseline"/>
                    <w:rPr>
                      <w:rFonts w:hint="eastAsia"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80</w:t>
                  </w:r>
                  <w:r>
                    <w:rPr>
                      <w:rFonts w:hint="default" w:ascii="Times New Roman" w:hAnsi="Times New Roman" w:cs="Times New Roman"/>
                      <w:color w:val="auto"/>
                      <w:kern w:val="44"/>
                      <w:sz w:val="21"/>
                      <w:szCs w:val="21"/>
                      <w:highlight w:val="none"/>
                    </w:rPr>
                    <w:t>/1</w:t>
                  </w:r>
                </w:p>
              </w:tc>
              <w:tc>
                <w:tcPr>
                  <w:tcW w:w="274" w:type="pct"/>
                  <w:tcBorders>
                    <w:tl2br w:val="nil"/>
                    <w:tr2bl w:val="nil"/>
                  </w:tcBorders>
                  <w:shd w:val="clear" w:color="auto" w:fill="auto"/>
                  <w:vAlign w:val="center"/>
                </w:tcPr>
                <w:p>
                  <w:pPr>
                    <w:adjustRightInd w:val="0"/>
                    <w:jc w:val="center"/>
                    <w:textAlignment w:val="baseline"/>
                    <w:rPr>
                      <w:rFonts w:hint="eastAsia"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20</w:t>
                  </w:r>
                </w:p>
              </w:tc>
              <w:tc>
                <w:tcPr>
                  <w:tcW w:w="274" w:type="pc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1</w:t>
                  </w:r>
                </w:p>
              </w:tc>
              <w:tc>
                <w:tcPr>
                  <w:tcW w:w="937" w:type="pct"/>
                  <w:vMerge w:val="continue"/>
                  <w:tcBorders>
                    <w:tl2br w:val="nil"/>
                    <w:tr2bl w:val="nil"/>
                  </w:tcBorders>
                  <w:vAlign w:val="center"/>
                </w:tcPr>
                <w:p>
                  <w:pPr>
                    <w:adjustRightInd w:val="0"/>
                    <w:textAlignment w:val="baseline"/>
                    <w:rPr>
                      <w:rFonts w:hint="default" w:ascii="Times New Roman" w:hAnsi="Times New Roman" w:cs="Times New Roman"/>
                      <w:bCs/>
                      <w:color w:val="auto"/>
                      <w:sz w:val="21"/>
                      <w:szCs w:val="21"/>
                      <w:highlight w:val="none"/>
                    </w:rPr>
                  </w:pPr>
                </w:p>
              </w:tc>
              <w:tc>
                <w:tcPr>
                  <w:tcW w:w="394"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eastAsia" w:cs="Times New Roman"/>
                      <w:color w:val="auto"/>
                      <w:kern w:val="44"/>
                      <w:sz w:val="21"/>
                      <w:szCs w:val="21"/>
                      <w:highlight w:val="none"/>
                      <w:lang w:val="en-US" w:eastAsia="zh-CN"/>
                    </w:rPr>
                    <w:t>6</w:t>
                  </w:r>
                  <w:r>
                    <w:rPr>
                      <w:rFonts w:hint="default" w:ascii="Times New Roman" w:hAnsi="Times New Roman" w:cs="Times New Roman"/>
                      <w:color w:val="auto"/>
                      <w:kern w:val="44"/>
                      <w:sz w:val="21"/>
                      <w:szCs w:val="21"/>
                      <w:highlight w:val="none"/>
                    </w:rPr>
                    <w:t>h/d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272" w:type="pc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3</w:t>
                  </w:r>
                </w:p>
              </w:tc>
              <w:tc>
                <w:tcPr>
                  <w:tcW w:w="770" w:type="pct"/>
                  <w:tcBorders>
                    <w:tl2br w:val="nil"/>
                    <w:tr2bl w:val="nil"/>
                  </w:tcBorders>
                  <w:vAlign w:val="center"/>
                </w:tcPr>
                <w:p>
                  <w:pPr>
                    <w:pStyle w:val="60"/>
                    <w:spacing w:before="24" w:after="24"/>
                    <w:ind w:firstLine="0" w:firstLineChars="0"/>
                    <w:rPr>
                      <w:rFonts w:hint="default" w:ascii="Times New Roman" w:hAnsi="Times New Roman" w:cs="Times New Roman"/>
                      <w:color w:val="auto"/>
                      <w:kern w:val="44"/>
                      <w:sz w:val="21"/>
                      <w:szCs w:val="21"/>
                      <w:highlight w:val="none"/>
                    </w:rPr>
                  </w:pPr>
                  <w:r>
                    <w:rPr>
                      <w:rFonts w:hint="eastAsia" w:ascii="Times New Roman" w:hAnsi="Times New Roman" w:eastAsia="宋体" w:cs="Times New Roman"/>
                      <w:color w:val="auto"/>
                      <w:sz w:val="21"/>
                      <w:szCs w:val="21"/>
                      <w:highlight w:val="none"/>
                      <w:lang w:val="en-US" w:eastAsia="zh-CN"/>
                    </w:rPr>
                    <w:t>3#布袋除尘器+</w:t>
                  </w:r>
                  <w:r>
                    <w:rPr>
                      <w:rFonts w:hint="eastAsia" w:ascii="Times New Roman" w:cs="Times New Roman"/>
                      <w:color w:val="auto"/>
                      <w:sz w:val="21"/>
                      <w:szCs w:val="21"/>
                      <w:highlight w:val="none"/>
                      <w:lang w:val="en-US" w:eastAsia="zh-CN"/>
                    </w:rPr>
                    <w:t>3#</w:t>
                  </w:r>
                  <w:r>
                    <w:rPr>
                      <w:rFonts w:hint="eastAsia" w:ascii="Times New Roman" w:hAnsi="Times New Roman" w:eastAsia="宋体" w:cs="Times New Roman"/>
                      <w:color w:val="auto"/>
                      <w:sz w:val="21"/>
                      <w:szCs w:val="21"/>
                      <w:highlight w:val="none"/>
                      <w:lang w:val="en-US" w:eastAsia="zh-CN"/>
                    </w:rPr>
                    <w:t>风机</w:t>
                  </w:r>
                </w:p>
              </w:tc>
              <w:tc>
                <w:tcPr>
                  <w:tcW w:w="580" w:type="pct"/>
                  <w:tcBorders>
                    <w:tl2br w:val="nil"/>
                    <w:tr2bl w:val="nil"/>
                  </w:tcBorders>
                  <w:vAlign w:val="center"/>
                </w:tcPr>
                <w:p>
                  <w:pPr>
                    <w:spacing w:before="24" w:after="24"/>
                    <w:ind w:firstLine="0" w:firstLineChars="0"/>
                    <w:jc w:val="center"/>
                    <w:rPr>
                      <w:rFonts w:hint="default" w:ascii="Times New Roman" w:hAnsi="Times New Roman" w:cs="Times New Roman"/>
                      <w:color w:val="auto"/>
                      <w:kern w:val="44"/>
                      <w:sz w:val="21"/>
                      <w:szCs w:val="21"/>
                      <w:highlight w:val="none"/>
                    </w:rPr>
                  </w:pPr>
                  <w:r>
                    <w:rPr>
                      <w:rFonts w:hint="eastAsia" w:ascii="Times New Roman" w:hAnsi="Times New Roman" w:eastAsia="宋体" w:cs="Times New Roman"/>
                      <w:color w:val="auto"/>
                      <w:sz w:val="21"/>
                      <w:szCs w:val="21"/>
                      <w:highlight w:val="none"/>
                      <w:lang w:val="en-US" w:eastAsia="zh-CN"/>
                    </w:rPr>
                    <w:t>风量</w:t>
                  </w:r>
                  <w:r>
                    <w:rPr>
                      <w:rFonts w:hint="eastAsia" w:cs="Times New Roman"/>
                      <w:color w:val="auto"/>
                      <w:sz w:val="21"/>
                      <w:szCs w:val="21"/>
                      <w:highlight w:val="none"/>
                      <w:lang w:val="en-US" w:eastAsia="zh-CN"/>
                    </w:rPr>
                    <w:t>5000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341"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351</w:t>
                  </w:r>
                </w:p>
              </w:tc>
              <w:tc>
                <w:tcPr>
                  <w:tcW w:w="274"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28</w:t>
                  </w:r>
                </w:p>
              </w:tc>
              <w:tc>
                <w:tcPr>
                  <w:tcW w:w="313" w:type="pc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1</w:t>
                  </w:r>
                </w:p>
              </w:tc>
              <w:tc>
                <w:tcPr>
                  <w:tcW w:w="566" w:type="pct"/>
                  <w:tcBorders>
                    <w:tl2br w:val="nil"/>
                    <w:tr2bl w:val="nil"/>
                  </w:tcBorders>
                  <w:vAlign w:val="center"/>
                </w:tcPr>
                <w:p>
                  <w:pPr>
                    <w:adjustRightInd w:val="0"/>
                    <w:jc w:val="center"/>
                    <w:textAlignment w:val="baseline"/>
                    <w:rPr>
                      <w:rFonts w:hint="eastAsia"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80</w:t>
                  </w:r>
                  <w:r>
                    <w:rPr>
                      <w:rFonts w:hint="default" w:ascii="Times New Roman" w:hAnsi="Times New Roman" w:cs="Times New Roman"/>
                      <w:color w:val="auto"/>
                      <w:kern w:val="44"/>
                      <w:sz w:val="21"/>
                      <w:szCs w:val="21"/>
                      <w:highlight w:val="none"/>
                    </w:rPr>
                    <w:t>/1</w:t>
                  </w:r>
                </w:p>
              </w:tc>
              <w:tc>
                <w:tcPr>
                  <w:tcW w:w="274" w:type="pct"/>
                  <w:tcBorders>
                    <w:tl2br w:val="nil"/>
                    <w:tr2bl w:val="nil"/>
                  </w:tcBorders>
                  <w:shd w:val="clear" w:color="auto" w:fill="auto"/>
                  <w:vAlign w:val="center"/>
                </w:tcPr>
                <w:p>
                  <w:pPr>
                    <w:adjustRightInd w:val="0"/>
                    <w:jc w:val="center"/>
                    <w:textAlignment w:val="baseline"/>
                    <w:rPr>
                      <w:rFonts w:hint="eastAsia"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20</w:t>
                  </w:r>
                </w:p>
              </w:tc>
              <w:tc>
                <w:tcPr>
                  <w:tcW w:w="274" w:type="pc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1</w:t>
                  </w:r>
                </w:p>
              </w:tc>
              <w:tc>
                <w:tcPr>
                  <w:tcW w:w="937" w:type="pct"/>
                  <w:vMerge w:val="continue"/>
                  <w:tcBorders>
                    <w:tl2br w:val="nil"/>
                    <w:tr2bl w:val="nil"/>
                  </w:tcBorders>
                  <w:vAlign w:val="center"/>
                </w:tcPr>
                <w:p>
                  <w:pPr>
                    <w:adjustRightInd w:val="0"/>
                    <w:textAlignment w:val="baseline"/>
                    <w:rPr>
                      <w:rFonts w:hint="default" w:ascii="Times New Roman" w:hAnsi="Times New Roman" w:cs="Times New Roman"/>
                      <w:bCs/>
                      <w:color w:val="auto"/>
                      <w:sz w:val="21"/>
                      <w:szCs w:val="21"/>
                      <w:highlight w:val="none"/>
                    </w:rPr>
                  </w:pPr>
                </w:p>
              </w:tc>
              <w:tc>
                <w:tcPr>
                  <w:tcW w:w="394"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eastAsia" w:cs="Times New Roman"/>
                      <w:color w:val="auto"/>
                      <w:kern w:val="44"/>
                      <w:sz w:val="21"/>
                      <w:szCs w:val="21"/>
                      <w:highlight w:val="none"/>
                      <w:lang w:val="en-US" w:eastAsia="zh-CN"/>
                    </w:rPr>
                    <w:t>6</w:t>
                  </w:r>
                  <w:r>
                    <w:rPr>
                      <w:rFonts w:hint="default" w:ascii="Times New Roman" w:hAnsi="Times New Roman" w:cs="Times New Roman"/>
                      <w:color w:val="auto"/>
                      <w:kern w:val="44"/>
                      <w:sz w:val="21"/>
                      <w:szCs w:val="21"/>
                      <w:highlight w:val="none"/>
                    </w:rPr>
                    <w:t>h/d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272" w:type="pc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4</w:t>
                  </w:r>
                </w:p>
              </w:tc>
              <w:tc>
                <w:tcPr>
                  <w:tcW w:w="770" w:type="pct"/>
                  <w:tcBorders>
                    <w:tl2br w:val="nil"/>
                    <w:tr2bl w:val="nil"/>
                  </w:tcBorders>
                  <w:vAlign w:val="center"/>
                </w:tcPr>
                <w:p>
                  <w:pPr>
                    <w:pStyle w:val="60"/>
                    <w:spacing w:before="24" w:after="24"/>
                    <w:ind w:firstLine="0" w:firstLineChars="0"/>
                    <w:rPr>
                      <w:rFonts w:hint="default" w:ascii="Times New Roman" w:hAnsi="Times New Roman" w:cs="Times New Roman"/>
                      <w:color w:val="auto"/>
                      <w:kern w:val="44"/>
                      <w:sz w:val="21"/>
                      <w:szCs w:val="21"/>
                      <w:highlight w:val="none"/>
                    </w:rPr>
                  </w:pPr>
                  <w:r>
                    <w:rPr>
                      <w:rFonts w:hint="eastAsia" w:ascii="Times New Roman" w:hAnsi="Times New Roman" w:eastAsia="宋体" w:cs="Times New Roman"/>
                      <w:color w:val="auto"/>
                      <w:sz w:val="21"/>
                      <w:szCs w:val="21"/>
                      <w:highlight w:val="none"/>
                      <w:lang w:val="en-US" w:eastAsia="zh-CN"/>
                    </w:rPr>
                    <w:t>4#布袋除尘器+</w:t>
                  </w:r>
                  <w:r>
                    <w:rPr>
                      <w:rFonts w:hint="eastAsia" w:ascii="Times New Roman"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风机</w:t>
                  </w:r>
                </w:p>
              </w:tc>
              <w:tc>
                <w:tcPr>
                  <w:tcW w:w="580" w:type="pct"/>
                  <w:tcBorders>
                    <w:tl2br w:val="nil"/>
                    <w:tr2bl w:val="nil"/>
                  </w:tcBorders>
                  <w:vAlign w:val="center"/>
                </w:tcPr>
                <w:p>
                  <w:pPr>
                    <w:spacing w:before="24" w:after="24"/>
                    <w:ind w:firstLine="0" w:firstLineChars="0"/>
                    <w:jc w:val="center"/>
                    <w:rPr>
                      <w:rFonts w:hint="default" w:ascii="Times New Roman" w:hAnsi="Times New Roman" w:cs="Times New Roman"/>
                      <w:color w:val="auto"/>
                      <w:kern w:val="44"/>
                      <w:sz w:val="21"/>
                      <w:szCs w:val="21"/>
                      <w:highlight w:val="none"/>
                    </w:rPr>
                  </w:pPr>
                  <w:r>
                    <w:rPr>
                      <w:rFonts w:hint="eastAsia" w:ascii="Times New Roman" w:hAnsi="Times New Roman" w:eastAsia="宋体" w:cs="Times New Roman"/>
                      <w:color w:val="auto"/>
                      <w:sz w:val="21"/>
                      <w:szCs w:val="21"/>
                      <w:highlight w:val="none"/>
                      <w:lang w:val="en-US" w:eastAsia="zh-CN"/>
                    </w:rPr>
                    <w:t>风量</w:t>
                  </w:r>
                  <w:r>
                    <w:rPr>
                      <w:rFonts w:hint="eastAsia" w:cs="Times New Roman"/>
                      <w:color w:val="auto"/>
                      <w:sz w:val="21"/>
                      <w:szCs w:val="21"/>
                      <w:highlight w:val="none"/>
                      <w:lang w:val="en-US" w:eastAsia="zh-CN"/>
                    </w:rPr>
                    <w:t>8000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341"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340</w:t>
                  </w:r>
                </w:p>
              </w:tc>
              <w:tc>
                <w:tcPr>
                  <w:tcW w:w="274"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-1</w:t>
                  </w:r>
                </w:p>
              </w:tc>
              <w:tc>
                <w:tcPr>
                  <w:tcW w:w="313" w:type="pc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1</w:t>
                  </w:r>
                </w:p>
              </w:tc>
              <w:tc>
                <w:tcPr>
                  <w:tcW w:w="566" w:type="pct"/>
                  <w:tcBorders>
                    <w:tl2br w:val="nil"/>
                    <w:tr2bl w:val="nil"/>
                  </w:tcBorders>
                  <w:vAlign w:val="center"/>
                </w:tcPr>
                <w:p>
                  <w:pPr>
                    <w:adjustRightInd w:val="0"/>
                    <w:jc w:val="center"/>
                    <w:textAlignment w:val="baseline"/>
                    <w:rPr>
                      <w:rFonts w:hint="eastAsia"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80</w:t>
                  </w:r>
                  <w:r>
                    <w:rPr>
                      <w:rFonts w:hint="default" w:ascii="Times New Roman" w:hAnsi="Times New Roman" w:cs="Times New Roman"/>
                      <w:color w:val="auto"/>
                      <w:kern w:val="44"/>
                      <w:sz w:val="21"/>
                      <w:szCs w:val="21"/>
                      <w:highlight w:val="none"/>
                    </w:rPr>
                    <w:t>/1</w:t>
                  </w:r>
                </w:p>
              </w:tc>
              <w:tc>
                <w:tcPr>
                  <w:tcW w:w="274" w:type="pct"/>
                  <w:tcBorders>
                    <w:tl2br w:val="nil"/>
                    <w:tr2bl w:val="nil"/>
                  </w:tcBorders>
                  <w:shd w:val="clear" w:color="auto" w:fill="auto"/>
                  <w:vAlign w:val="center"/>
                </w:tcPr>
                <w:p>
                  <w:pPr>
                    <w:adjustRightInd w:val="0"/>
                    <w:jc w:val="center"/>
                    <w:textAlignment w:val="baseline"/>
                    <w:rPr>
                      <w:rFonts w:hint="eastAsia"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20</w:t>
                  </w:r>
                </w:p>
              </w:tc>
              <w:tc>
                <w:tcPr>
                  <w:tcW w:w="274" w:type="pc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1</w:t>
                  </w:r>
                </w:p>
              </w:tc>
              <w:tc>
                <w:tcPr>
                  <w:tcW w:w="937" w:type="pct"/>
                  <w:vMerge w:val="continue"/>
                  <w:tcBorders>
                    <w:tl2br w:val="nil"/>
                    <w:tr2bl w:val="nil"/>
                  </w:tcBorders>
                  <w:vAlign w:val="center"/>
                </w:tcPr>
                <w:p>
                  <w:pPr>
                    <w:adjustRightInd w:val="0"/>
                    <w:textAlignment w:val="baseline"/>
                    <w:rPr>
                      <w:rFonts w:hint="default" w:ascii="Times New Roman" w:hAnsi="Times New Roman" w:cs="Times New Roman"/>
                      <w:bCs/>
                      <w:color w:val="auto"/>
                      <w:sz w:val="21"/>
                      <w:szCs w:val="21"/>
                      <w:highlight w:val="none"/>
                    </w:rPr>
                  </w:pPr>
                </w:p>
              </w:tc>
              <w:tc>
                <w:tcPr>
                  <w:tcW w:w="394"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eastAsia" w:cs="Times New Roman"/>
                      <w:color w:val="auto"/>
                      <w:kern w:val="44"/>
                      <w:sz w:val="21"/>
                      <w:szCs w:val="21"/>
                      <w:highlight w:val="none"/>
                      <w:lang w:val="en-US" w:eastAsia="zh-CN"/>
                    </w:rPr>
                    <w:t>6</w:t>
                  </w:r>
                  <w:r>
                    <w:rPr>
                      <w:rFonts w:hint="default" w:ascii="Times New Roman" w:hAnsi="Times New Roman" w:cs="Times New Roman"/>
                      <w:color w:val="auto"/>
                      <w:kern w:val="44"/>
                      <w:sz w:val="21"/>
                      <w:szCs w:val="21"/>
                      <w:highlight w:val="none"/>
                    </w:rPr>
                    <w:t>h/d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272" w:type="pc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5</w:t>
                  </w:r>
                </w:p>
              </w:tc>
              <w:tc>
                <w:tcPr>
                  <w:tcW w:w="770" w:type="pct"/>
                  <w:tcBorders>
                    <w:tl2br w:val="nil"/>
                    <w:tr2bl w:val="nil"/>
                  </w:tcBorders>
                  <w:vAlign w:val="center"/>
                </w:tcPr>
                <w:p>
                  <w:pPr>
                    <w:pStyle w:val="60"/>
                    <w:spacing w:before="24" w:after="24"/>
                    <w:ind w:firstLine="0" w:firstLineChars="0"/>
                    <w:rPr>
                      <w:rFonts w:hint="default" w:ascii="Times New Roman" w:hAnsi="Times New Roman" w:cs="Times New Roman"/>
                      <w:color w:val="auto"/>
                      <w:kern w:val="44"/>
                      <w:sz w:val="21"/>
                      <w:szCs w:val="21"/>
                      <w:highlight w:val="none"/>
                    </w:rPr>
                  </w:pPr>
                  <w:r>
                    <w:rPr>
                      <w:rFonts w:hint="eastAsia" w:ascii="Times New Roman" w:hAnsi="Times New Roman" w:eastAsia="宋体" w:cs="Times New Roman"/>
                      <w:color w:val="auto"/>
                      <w:sz w:val="21"/>
                      <w:szCs w:val="21"/>
                      <w:highlight w:val="none"/>
                      <w:lang w:val="en-US" w:eastAsia="zh-CN"/>
                    </w:rPr>
                    <w:t>5#布袋除尘器+</w:t>
                  </w:r>
                  <w:r>
                    <w:rPr>
                      <w:rFonts w:hint="eastAsia" w:ascii="Times New Roman"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风机</w:t>
                  </w:r>
                </w:p>
              </w:tc>
              <w:tc>
                <w:tcPr>
                  <w:tcW w:w="580" w:type="pct"/>
                  <w:tcBorders>
                    <w:tl2br w:val="nil"/>
                    <w:tr2bl w:val="nil"/>
                  </w:tcBorders>
                  <w:vAlign w:val="center"/>
                </w:tcPr>
                <w:p>
                  <w:pPr>
                    <w:spacing w:before="24" w:after="24"/>
                    <w:ind w:firstLine="0" w:firstLineChars="0"/>
                    <w:jc w:val="center"/>
                    <w:rPr>
                      <w:rFonts w:hint="default" w:ascii="Times New Roman" w:hAnsi="Times New Roman" w:cs="Times New Roman"/>
                      <w:color w:val="auto"/>
                      <w:kern w:val="44"/>
                      <w:sz w:val="21"/>
                      <w:szCs w:val="21"/>
                      <w:highlight w:val="none"/>
                    </w:rPr>
                  </w:pPr>
                  <w:r>
                    <w:rPr>
                      <w:rFonts w:hint="eastAsia" w:ascii="Times New Roman" w:hAnsi="Times New Roman" w:eastAsia="宋体" w:cs="Times New Roman"/>
                      <w:color w:val="auto"/>
                      <w:sz w:val="21"/>
                      <w:szCs w:val="21"/>
                      <w:highlight w:val="none"/>
                      <w:lang w:val="en-US" w:eastAsia="zh-CN"/>
                    </w:rPr>
                    <w:t>风量</w:t>
                  </w:r>
                  <w:r>
                    <w:rPr>
                      <w:rFonts w:hint="eastAsia" w:cs="Times New Roman"/>
                      <w:color w:val="auto"/>
                      <w:sz w:val="21"/>
                      <w:szCs w:val="21"/>
                      <w:highlight w:val="none"/>
                      <w:lang w:val="en-US" w:eastAsia="zh-CN"/>
                    </w:rPr>
                    <w:t>5000</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/h</w:t>
                  </w:r>
                </w:p>
              </w:tc>
              <w:tc>
                <w:tcPr>
                  <w:tcW w:w="341"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210</w:t>
                  </w:r>
                </w:p>
              </w:tc>
              <w:tc>
                <w:tcPr>
                  <w:tcW w:w="274"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-1</w:t>
                  </w:r>
                </w:p>
              </w:tc>
              <w:tc>
                <w:tcPr>
                  <w:tcW w:w="313" w:type="pc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1</w:t>
                  </w:r>
                </w:p>
              </w:tc>
              <w:tc>
                <w:tcPr>
                  <w:tcW w:w="566" w:type="pct"/>
                  <w:tcBorders>
                    <w:tl2br w:val="nil"/>
                    <w:tr2bl w:val="nil"/>
                  </w:tcBorders>
                  <w:vAlign w:val="center"/>
                </w:tcPr>
                <w:p>
                  <w:pPr>
                    <w:adjustRightInd w:val="0"/>
                    <w:jc w:val="center"/>
                    <w:textAlignment w:val="baseline"/>
                    <w:rPr>
                      <w:rFonts w:hint="eastAsia"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80</w:t>
                  </w:r>
                  <w:r>
                    <w:rPr>
                      <w:rFonts w:hint="default" w:ascii="Times New Roman" w:hAnsi="Times New Roman" w:cs="Times New Roman"/>
                      <w:color w:val="auto"/>
                      <w:kern w:val="44"/>
                      <w:sz w:val="21"/>
                      <w:szCs w:val="21"/>
                      <w:highlight w:val="none"/>
                    </w:rPr>
                    <w:t>/1</w:t>
                  </w:r>
                </w:p>
              </w:tc>
              <w:tc>
                <w:tcPr>
                  <w:tcW w:w="274" w:type="pct"/>
                  <w:tcBorders>
                    <w:tl2br w:val="nil"/>
                    <w:tr2bl w:val="nil"/>
                  </w:tcBorders>
                  <w:shd w:val="clear" w:color="auto" w:fill="auto"/>
                  <w:vAlign w:val="center"/>
                </w:tcPr>
                <w:p>
                  <w:pPr>
                    <w:adjustRightInd w:val="0"/>
                    <w:jc w:val="center"/>
                    <w:textAlignment w:val="baseline"/>
                    <w:rPr>
                      <w:rFonts w:hint="eastAsia"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20</w:t>
                  </w:r>
                </w:p>
              </w:tc>
              <w:tc>
                <w:tcPr>
                  <w:tcW w:w="274" w:type="pc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1</w:t>
                  </w:r>
                </w:p>
              </w:tc>
              <w:tc>
                <w:tcPr>
                  <w:tcW w:w="937" w:type="pct"/>
                  <w:vMerge w:val="continue"/>
                  <w:tcBorders>
                    <w:tl2br w:val="nil"/>
                    <w:tr2bl w:val="nil"/>
                  </w:tcBorders>
                  <w:vAlign w:val="center"/>
                </w:tcPr>
                <w:p>
                  <w:pPr>
                    <w:adjustRightInd w:val="0"/>
                    <w:textAlignment w:val="baseline"/>
                    <w:rPr>
                      <w:rFonts w:hint="default" w:ascii="Times New Roman" w:hAnsi="Times New Roman" w:cs="Times New Roman"/>
                      <w:bCs/>
                      <w:color w:val="auto"/>
                      <w:sz w:val="21"/>
                      <w:szCs w:val="21"/>
                      <w:highlight w:val="none"/>
                    </w:rPr>
                  </w:pPr>
                </w:p>
              </w:tc>
              <w:tc>
                <w:tcPr>
                  <w:tcW w:w="394"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eastAsia" w:cs="Times New Roman"/>
                      <w:color w:val="auto"/>
                      <w:kern w:val="44"/>
                      <w:sz w:val="21"/>
                      <w:szCs w:val="21"/>
                      <w:highlight w:val="none"/>
                      <w:lang w:val="en-US" w:eastAsia="zh-CN"/>
                    </w:rPr>
                    <w:t>6</w:t>
                  </w:r>
                  <w:r>
                    <w:rPr>
                      <w:rFonts w:hint="default" w:ascii="Times New Roman" w:hAnsi="Times New Roman" w:cs="Times New Roman"/>
                      <w:color w:val="auto"/>
                      <w:kern w:val="44"/>
                      <w:sz w:val="21"/>
                      <w:szCs w:val="21"/>
                      <w:highlight w:val="none"/>
                    </w:rPr>
                    <w:t>h/d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272" w:type="pct"/>
                  <w:tcBorders>
                    <w:tl2br w:val="nil"/>
                    <w:tr2bl w:val="nil"/>
                  </w:tcBorders>
                  <w:vAlign w:val="center"/>
                </w:tcPr>
                <w:p>
                  <w:pPr>
                    <w:adjustRightInd w:val="0"/>
                    <w:jc w:val="center"/>
                    <w:textAlignment w:val="baseline"/>
                    <w:rPr>
                      <w:rFonts w:hint="eastAsia"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6</w:t>
                  </w:r>
                </w:p>
              </w:tc>
              <w:tc>
                <w:tcPr>
                  <w:tcW w:w="770" w:type="pct"/>
                  <w:tcBorders>
                    <w:tl2br w:val="nil"/>
                    <w:tr2bl w:val="nil"/>
                  </w:tcBorders>
                  <w:vAlign w:val="center"/>
                </w:tcPr>
                <w:p>
                  <w:pPr>
                    <w:adjustRightInd w:val="0"/>
                    <w:textAlignment w:val="baseline"/>
                    <w:rPr>
                      <w:rFonts w:hint="default" w:ascii="Times New Roman" w:hAnsi="Times New Roman" w:cs="Times New Roman"/>
                      <w:color w:val="auto"/>
                      <w:kern w:val="44"/>
                      <w:sz w:val="21"/>
                      <w:szCs w:val="21"/>
                      <w:highlight w:val="none"/>
                    </w:rPr>
                  </w:pPr>
                  <w:r>
                    <w:rPr>
                      <w:rFonts w:hint="eastAsia" w:cs="Times New Roman"/>
                      <w:color w:val="auto"/>
                      <w:kern w:val="44"/>
                      <w:sz w:val="21"/>
                      <w:szCs w:val="21"/>
                      <w:highlight w:val="none"/>
                      <w:lang w:eastAsia="zh-CN"/>
                    </w:rPr>
                    <w:t>活性炭吸附、脱附催化燃烧</w:t>
                  </w:r>
                  <w:r>
                    <w:rPr>
                      <w:rFonts w:hint="default" w:ascii="Times New Roman" w:hAnsi="Times New Roman" w:cs="Times New Roman"/>
                      <w:color w:val="auto"/>
                      <w:kern w:val="44"/>
                      <w:sz w:val="21"/>
                      <w:szCs w:val="21"/>
                      <w:highlight w:val="none"/>
                    </w:rPr>
                    <w:t>装置配套风机</w:t>
                  </w:r>
                </w:p>
              </w:tc>
              <w:tc>
                <w:tcPr>
                  <w:tcW w:w="580"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风量</w:t>
                  </w:r>
                  <w:r>
                    <w:rPr>
                      <w:rFonts w:hint="eastAsia" w:cs="Times New Roman"/>
                      <w:color w:val="auto"/>
                      <w:kern w:val="44"/>
                      <w:sz w:val="21"/>
                      <w:szCs w:val="21"/>
                      <w:highlight w:val="none"/>
                      <w:lang w:val="en-US" w:eastAsia="zh-CN"/>
                    </w:rPr>
                    <w:t>30</w:t>
                  </w:r>
                  <w:r>
                    <w:rPr>
                      <w:rFonts w:hint="default" w:ascii="Times New Roman" w:hAnsi="Times New Roman" w:cs="Times New Roman"/>
                      <w:color w:val="auto"/>
                      <w:kern w:val="44"/>
                      <w:sz w:val="21"/>
                      <w:szCs w:val="21"/>
                      <w:highlight w:val="none"/>
                    </w:rPr>
                    <w:t>000m</w:t>
                  </w:r>
                  <w:r>
                    <w:rPr>
                      <w:rFonts w:hint="default" w:ascii="Times New Roman" w:hAnsi="Times New Roman" w:cs="Times New Roman"/>
                      <w:color w:val="auto"/>
                      <w:kern w:val="44"/>
                      <w:sz w:val="21"/>
                      <w:szCs w:val="21"/>
                      <w:highlight w:val="none"/>
                      <w:vertAlign w:val="superscript"/>
                    </w:rPr>
                    <w:t>3</w:t>
                  </w:r>
                  <w:r>
                    <w:rPr>
                      <w:rFonts w:hint="default" w:ascii="Times New Roman" w:hAnsi="Times New Roman" w:cs="Times New Roman"/>
                      <w:color w:val="auto"/>
                      <w:kern w:val="44"/>
                      <w:sz w:val="21"/>
                      <w:szCs w:val="21"/>
                      <w:highlight w:val="none"/>
                    </w:rPr>
                    <w:t>/h</w:t>
                  </w:r>
                </w:p>
              </w:tc>
              <w:tc>
                <w:tcPr>
                  <w:tcW w:w="341"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210</w:t>
                  </w:r>
                </w:p>
              </w:tc>
              <w:tc>
                <w:tcPr>
                  <w:tcW w:w="274" w:type="pct"/>
                  <w:tcBorders>
                    <w:tl2br w:val="nil"/>
                    <w:tr2bl w:val="nil"/>
                  </w:tcBorders>
                  <w:vAlign w:val="center"/>
                </w:tcPr>
                <w:p>
                  <w:pPr>
                    <w:adjustRightInd w:val="0"/>
                    <w:jc w:val="center"/>
                    <w:textAlignment w:val="baseline"/>
                    <w:rPr>
                      <w:rFonts w:hint="default"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71</w:t>
                  </w:r>
                </w:p>
              </w:tc>
              <w:tc>
                <w:tcPr>
                  <w:tcW w:w="313"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1</w:t>
                  </w:r>
                </w:p>
              </w:tc>
              <w:tc>
                <w:tcPr>
                  <w:tcW w:w="566"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eastAsia" w:cs="Times New Roman"/>
                      <w:color w:val="auto"/>
                      <w:kern w:val="44"/>
                      <w:sz w:val="21"/>
                      <w:szCs w:val="21"/>
                      <w:highlight w:val="none"/>
                      <w:lang w:val="en-US" w:eastAsia="zh-CN"/>
                    </w:rPr>
                    <w:t>85</w:t>
                  </w:r>
                  <w:r>
                    <w:rPr>
                      <w:rFonts w:hint="default" w:ascii="Times New Roman" w:hAnsi="Times New Roman" w:cs="Times New Roman"/>
                      <w:color w:val="auto"/>
                      <w:kern w:val="44"/>
                      <w:sz w:val="21"/>
                      <w:szCs w:val="21"/>
                      <w:highlight w:val="none"/>
                    </w:rPr>
                    <w:t>/1</w:t>
                  </w:r>
                </w:p>
              </w:tc>
              <w:tc>
                <w:tcPr>
                  <w:tcW w:w="274" w:type="pct"/>
                  <w:tcBorders>
                    <w:tl2br w:val="nil"/>
                    <w:tr2bl w:val="nil"/>
                  </w:tcBorders>
                  <w:shd w:val="clear" w:color="auto" w:fill="auto"/>
                  <w:vAlign w:val="center"/>
                </w:tcPr>
                <w:p>
                  <w:pPr>
                    <w:adjustRightInd w:val="0"/>
                    <w:jc w:val="center"/>
                    <w:textAlignment w:val="baseline"/>
                    <w:rPr>
                      <w:rFonts w:hint="default" w:ascii="Times New Roman" w:hAnsi="Times New Roman" w:eastAsia="宋体" w:cs="Times New Roman"/>
                      <w:color w:val="auto"/>
                      <w:kern w:val="44"/>
                      <w:sz w:val="21"/>
                      <w:szCs w:val="21"/>
                      <w:highlight w:val="none"/>
                      <w:lang w:val="en-US" w:eastAsia="zh-CN"/>
                    </w:rPr>
                  </w:pPr>
                  <w:r>
                    <w:rPr>
                      <w:rFonts w:hint="eastAsia" w:cs="Times New Roman"/>
                      <w:color w:val="auto"/>
                      <w:kern w:val="44"/>
                      <w:sz w:val="21"/>
                      <w:szCs w:val="21"/>
                      <w:highlight w:val="none"/>
                      <w:lang w:val="en-US" w:eastAsia="zh-CN"/>
                    </w:rPr>
                    <w:t>20</w:t>
                  </w:r>
                </w:p>
              </w:tc>
              <w:tc>
                <w:tcPr>
                  <w:tcW w:w="274"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default" w:ascii="Times New Roman" w:hAnsi="Times New Roman" w:cs="Times New Roman"/>
                      <w:color w:val="auto"/>
                      <w:kern w:val="44"/>
                      <w:sz w:val="21"/>
                      <w:szCs w:val="21"/>
                      <w:highlight w:val="none"/>
                    </w:rPr>
                    <w:t>1</w:t>
                  </w:r>
                </w:p>
              </w:tc>
              <w:tc>
                <w:tcPr>
                  <w:tcW w:w="937" w:type="pct"/>
                  <w:vMerge w:val="continue"/>
                  <w:tcBorders>
                    <w:tl2br w:val="nil"/>
                    <w:tr2bl w:val="nil"/>
                  </w:tcBorders>
                  <w:vAlign w:val="center"/>
                </w:tcPr>
                <w:p>
                  <w:pPr>
                    <w:adjustRightInd w:val="0"/>
                    <w:textAlignment w:val="baseline"/>
                    <w:rPr>
                      <w:rFonts w:hint="default" w:ascii="Times New Roman" w:hAnsi="Times New Roman" w:cs="Times New Roman"/>
                      <w:bCs/>
                      <w:color w:val="auto"/>
                      <w:sz w:val="21"/>
                      <w:szCs w:val="21"/>
                      <w:highlight w:val="none"/>
                    </w:rPr>
                  </w:pPr>
                </w:p>
              </w:tc>
              <w:tc>
                <w:tcPr>
                  <w:tcW w:w="394" w:type="pct"/>
                  <w:tcBorders>
                    <w:tl2br w:val="nil"/>
                    <w:tr2bl w:val="nil"/>
                  </w:tcBorders>
                  <w:vAlign w:val="center"/>
                </w:tcPr>
                <w:p>
                  <w:pPr>
                    <w:adjustRightInd w:val="0"/>
                    <w:jc w:val="center"/>
                    <w:textAlignment w:val="baseline"/>
                    <w:rPr>
                      <w:rFonts w:hint="default" w:ascii="Times New Roman" w:hAnsi="Times New Roman" w:cs="Times New Roman"/>
                      <w:color w:val="auto"/>
                      <w:kern w:val="44"/>
                      <w:sz w:val="21"/>
                      <w:szCs w:val="21"/>
                      <w:highlight w:val="none"/>
                    </w:rPr>
                  </w:pPr>
                  <w:r>
                    <w:rPr>
                      <w:rFonts w:hint="eastAsia" w:cs="Times New Roman"/>
                      <w:color w:val="auto"/>
                      <w:kern w:val="44"/>
                      <w:sz w:val="21"/>
                      <w:szCs w:val="21"/>
                      <w:highlight w:val="none"/>
                      <w:lang w:val="en-US" w:eastAsia="zh-CN"/>
                    </w:rPr>
                    <w:t>20</w:t>
                  </w:r>
                  <w:r>
                    <w:rPr>
                      <w:rFonts w:hint="default" w:ascii="Times New Roman" w:hAnsi="Times New Roman" w:cs="Times New Roman"/>
                      <w:color w:val="auto"/>
                      <w:kern w:val="44"/>
                      <w:sz w:val="21"/>
                      <w:szCs w:val="21"/>
                      <w:highlight w:val="none"/>
                    </w:rPr>
                    <w:t>h/d</w:t>
                  </w:r>
                </w:p>
              </w:tc>
            </w:tr>
          </w:tbl>
          <w:p>
            <w:p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注：上述噪声源源强，均为采取噪声防治措施后的源强。</w:t>
            </w:r>
          </w:p>
          <w:p>
            <w:pPr>
              <w:adjustRightIn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val="en-GB"/>
              </w:rPr>
              <w:t>（4）预测结果及影响分析</w:t>
            </w:r>
            <w:r>
              <w:rPr>
                <w:rFonts w:hint="default" w:ascii="Times New Roman" w:hAnsi="Times New Roman" w:cs="Times New Roman"/>
                <w:color w:val="auto"/>
                <w:highlight w:val="none"/>
              </w:rPr>
              <w:t xml:space="preserve"> </w:t>
            </w:r>
          </w:p>
          <w:p>
            <w:pPr>
              <w:pStyle w:val="4"/>
              <w:adjustRightInd w:val="0"/>
              <w:snapToGrid w:val="0"/>
              <w:spacing w:line="360" w:lineRule="auto"/>
              <w:ind w:firstLine="480" w:firstLineChars="200"/>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rPr>
              <w:t>本项目主要噪声来源于剪板机、组立机、抛丸机、空压机、布袋除尘器配套1#—5#风机、喷漆房送风机、</w:t>
            </w:r>
            <w:r>
              <w:rPr>
                <w:rFonts w:hint="eastAsia" w:cs="Times New Roman"/>
                <w:color w:val="auto"/>
                <w:szCs w:val="24"/>
                <w:highlight w:val="none"/>
                <w:lang w:eastAsia="zh-CN"/>
              </w:rPr>
              <w:t>活性炭吸附、脱附催化燃烧</w:t>
            </w:r>
            <w:r>
              <w:rPr>
                <w:rFonts w:hint="default" w:ascii="Times New Roman" w:hAnsi="Times New Roman" w:cs="Times New Roman"/>
                <w:color w:val="auto"/>
                <w:szCs w:val="24"/>
                <w:highlight w:val="none"/>
              </w:rPr>
              <w:t>装置配套风机等运行过程中产生的噪声。根据《工业企业厂界环境噪声排放标准》（</w:t>
            </w:r>
            <w:r>
              <w:rPr>
                <w:rFonts w:hint="eastAsia" w:cs="Times New Roman"/>
                <w:color w:val="auto"/>
                <w:szCs w:val="24"/>
                <w:highlight w:val="none"/>
                <w:lang w:eastAsia="zh-CN"/>
              </w:rPr>
              <w:t>GB12348-2008</w:t>
            </w:r>
            <w:r>
              <w:rPr>
                <w:rFonts w:hint="default" w:ascii="Times New Roman" w:hAnsi="Times New Roman" w:cs="Times New Roman"/>
                <w:color w:val="auto"/>
                <w:szCs w:val="24"/>
                <w:highlight w:val="none"/>
              </w:rPr>
              <w:t>）3.4对厂界的规定：“由法律文书（如土地使用证、房产证、租赁合同等）中确定的业主所拥有使用权（或所有权）的场所或建筑物边界。各种产生噪声的固定设备的厂界为其实际的占地的边界”，根据以上要求，确定</w:t>
            </w:r>
            <w:r>
              <w:rPr>
                <w:rFonts w:hint="eastAsia" w:cs="Times New Roman"/>
                <w:color w:val="auto"/>
                <w:szCs w:val="24"/>
                <w:highlight w:val="none"/>
                <w:lang w:val="en-US" w:eastAsia="zh-CN"/>
              </w:rPr>
              <w:t>厂院</w:t>
            </w:r>
            <w:r>
              <w:rPr>
                <w:rFonts w:hint="default" w:ascii="Times New Roman" w:hAnsi="Times New Roman" w:cs="Times New Roman"/>
                <w:color w:val="auto"/>
                <w:szCs w:val="24"/>
                <w:highlight w:val="none"/>
              </w:rPr>
              <w:t>边界即为本项目厂界。</w:t>
            </w:r>
            <w:r>
              <w:rPr>
                <w:rFonts w:hint="eastAsia" w:cs="Times New Roman"/>
                <w:color w:val="auto"/>
                <w:szCs w:val="24"/>
                <w:highlight w:val="none"/>
                <w:lang w:val="en-US" w:eastAsia="zh-CN"/>
              </w:rPr>
              <w:t>本项目夜间仅喷漆房送风机和活性炭吸附、脱附催化燃烧装置配套风机运行。</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根据本项目主要噪声源强特点，预测按照《环境影响评价技术导则—声环境》（HJ2.4-2021）中的预测计算模式进行计算。</w:t>
            </w:r>
          </w:p>
          <w:p>
            <w:pPr>
              <w:autoSpaceDE w:val="0"/>
              <w:autoSpaceDN w:val="0"/>
              <w:adjustRightInd w:val="0"/>
              <w:spacing w:line="360" w:lineRule="auto"/>
              <w:ind w:firstLine="482" w:firstLineChars="200"/>
              <w:jc w:val="left"/>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 xml:space="preserve">室内声源等效室外声源声功率级计算方法： </w:t>
            </w:r>
          </w:p>
          <w:p>
            <w:pPr>
              <w:pStyle w:val="12"/>
              <w:spacing w:before="0" w:after="0" w:line="360" w:lineRule="auto"/>
              <w:ind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如图所示，声源位于室内，室内声源可采用等效室外声源声功率级法进行计算。设靠近开口处（</w:t>
            </w:r>
            <w:r>
              <w:rPr>
                <w:rFonts w:hint="default" w:ascii="Times New Roman" w:hAnsi="Times New Roman" w:cs="Times New Roman"/>
                <w:color w:val="auto"/>
                <w:spacing w:val="-2"/>
                <w:sz w:val="24"/>
                <w:szCs w:val="24"/>
                <w:highlight w:val="none"/>
              </w:rPr>
              <w:t>或窗户</w:t>
            </w:r>
            <w:r>
              <w:rPr>
                <w:rFonts w:hint="default" w:ascii="Times New Roman" w:hAnsi="Times New Roman" w:cs="Times New Roman"/>
                <w:color w:val="auto"/>
                <w:spacing w:val="-22"/>
                <w:sz w:val="24"/>
                <w:szCs w:val="24"/>
                <w:highlight w:val="none"/>
              </w:rPr>
              <w:t>）</w:t>
            </w:r>
            <w:r>
              <w:rPr>
                <w:rFonts w:hint="default" w:ascii="Times New Roman" w:hAnsi="Times New Roman" w:cs="Times New Roman"/>
                <w:color w:val="auto"/>
                <w:spacing w:val="-10"/>
                <w:sz w:val="24"/>
                <w:szCs w:val="24"/>
                <w:highlight w:val="none"/>
              </w:rPr>
              <w:t>室内、室外某倍频带的声压级或</w:t>
            </w:r>
            <w:r>
              <w:rPr>
                <w:rFonts w:hint="default" w:ascii="Times New Roman" w:hAnsi="Times New Roman" w:eastAsia="Times New Roman" w:cs="Times New Roman"/>
                <w:color w:val="auto"/>
                <w:sz w:val="24"/>
                <w:szCs w:val="24"/>
                <w:highlight w:val="none"/>
              </w:rPr>
              <w:t>A</w:t>
            </w:r>
            <w:r>
              <w:rPr>
                <w:rFonts w:hint="default" w:ascii="Times New Roman" w:hAnsi="Times New Roman" w:cs="Times New Roman"/>
                <w:color w:val="auto"/>
                <w:spacing w:val="-10"/>
                <w:sz w:val="24"/>
                <w:szCs w:val="24"/>
                <w:highlight w:val="none"/>
              </w:rPr>
              <w:t>声级分别为</w:t>
            </w:r>
            <w:r>
              <w:rPr>
                <w:rFonts w:hint="default" w:ascii="Times New Roman" w:hAnsi="Times New Roman" w:eastAsia="Times New Roman" w:cs="Times New Roman"/>
                <w:i/>
                <w:color w:val="auto"/>
                <w:sz w:val="24"/>
                <w:szCs w:val="24"/>
                <w:highlight w:val="none"/>
              </w:rPr>
              <w:t>L</w:t>
            </w:r>
            <w:r>
              <w:rPr>
                <w:rFonts w:hint="default" w:ascii="Times New Roman" w:hAnsi="Times New Roman" w:eastAsia="Times New Roman" w:cs="Times New Roman"/>
                <w:i/>
                <w:color w:val="auto"/>
                <w:sz w:val="24"/>
                <w:szCs w:val="24"/>
                <w:highlight w:val="none"/>
                <w:vertAlign w:val="subscript"/>
              </w:rPr>
              <w:t>p1</w:t>
            </w:r>
            <w:r>
              <w:rPr>
                <w:rFonts w:hint="default" w:ascii="Times New Roman" w:hAnsi="Times New Roman" w:cs="Times New Roman"/>
                <w:color w:val="auto"/>
                <w:spacing w:val="-21"/>
                <w:sz w:val="24"/>
                <w:szCs w:val="24"/>
                <w:highlight w:val="none"/>
              </w:rPr>
              <w:t>和</w:t>
            </w:r>
            <w:r>
              <w:rPr>
                <w:rFonts w:hint="default" w:ascii="Times New Roman" w:hAnsi="Times New Roman" w:eastAsia="Times New Roman" w:cs="Times New Roman"/>
                <w:i/>
                <w:color w:val="auto"/>
                <w:sz w:val="24"/>
                <w:szCs w:val="24"/>
                <w:highlight w:val="none"/>
              </w:rPr>
              <w:t>L</w:t>
            </w:r>
            <w:r>
              <w:rPr>
                <w:rFonts w:hint="default" w:ascii="Times New Roman" w:hAnsi="Times New Roman" w:eastAsia="Times New Roman" w:cs="Times New Roman"/>
                <w:i/>
                <w:color w:val="auto"/>
                <w:sz w:val="24"/>
                <w:szCs w:val="24"/>
                <w:highlight w:val="none"/>
                <w:vertAlign w:val="subscript"/>
              </w:rPr>
              <w:t>p2</w:t>
            </w:r>
            <w:r>
              <w:rPr>
                <w:rFonts w:hint="default" w:ascii="Times New Roman" w:hAnsi="Times New Roman" w:cs="Times New Roman"/>
                <w:color w:val="auto"/>
                <w:spacing w:val="-6"/>
                <w:sz w:val="24"/>
                <w:szCs w:val="24"/>
                <w:highlight w:val="none"/>
              </w:rPr>
              <w:t>。若声源所在室内声场为近似扩散声</w:t>
            </w:r>
            <w:r>
              <w:rPr>
                <w:rFonts w:hint="default" w:ascii="Times New Roman" w:hAnsi="Times New Roman" w:cs="Times New Roman"/>
                <w:color w:val="auto"/>
                <w:spacing w:val="-4"/>
                <w:sz w:val="24"/>
                <w:szCs w:val="24"/>
                <w:highlight w:val="none"/>
              </w:rPr>
              <w:t>场，则室外的倍频带声压级可按式</w:t>
            </w:r>
            <w:r>
              <w:rPr>
                <w:rFonts w:hint="default" w:ascii="Times New Roman" w:hAnsi="Times New Roman" w:cs="Times New Roman"/>
                <w:color w:val="auto"/>
                <w:sz w:val="24"/>
                <w:szCs w:val="24"/>
                <w:highlight w:val="none"/>
              </w:rPr>
              <w:t>（</w:t>
            </w:r>
            <w:r>
              <w:rPr>
                <w:rFonts w:hint="default" w:ascii="Times New Roman" w:hAnsi="Times New Roman" w:eastAsia="Times New Roman" w:cs="Times New Roman"/>
                <w:color w:val="auto"/>
                <w:sz w:val="24"/>
                <w:szCs w:val="24"/>
                <w:highlight w:val="none"/>
              </w:rPr>
              <w:t>B.1</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pacing w:val="-3"/>
                <w:sz w:val="24"/>
                <w:szCs w:val="24"/>
                <w:highlight w:val="none"/>
              </w:rPr>
              <w:t>近似求出：</w:t>
            </w:r>
          </w:p>
          <w:p>
            <w:pPr>
              <w:autoSpaceDE w:val="0"/>
              <w:autoSpaceDN w:val="0"/>
              <w:adjustRightInd w:val="0"/>
              <w:spacing w:line="360" w:lineRule="auto"/>
              <w:ind w:firstLine="480" w:firstLineChars="20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1676400" cy="294005"/>
                  <wp:effectExtent l="0" t="0" r="0" b="1079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1"/>
                          <a:stretch>
                            <a:fillRect/>
                          </a:stretch>
                        </pic:blipFill>
                        <pic:spPr>
                          <a:xfrm>
                            <a:off x="0" y="0"/>
                            <a:ext cx="1676400" cy="294005"/>
                          </a:xfrm>
                          <a:prstGeom prst="rect">
                            <a:avLst/>
                          </a:prstGeom>
                          <a:noFill/>
                          <a:ln>
                            <a:noFill/>
                          </a:ln>
                        </pic:spPr>
                      </pic:pic>
                    </a:graphicData>
                  </a:graphic>
                </wp:inline>
              </w:drawing>
            </w:r>
            <w:r>
              <w:rPr>
                <w:rFonts w:hint="default" w:ascii="Times New Roman" w:hAnsi="Times New Roman" w:cs="Times New Roman"/>
                <w:color w:val="auto"/>
                <w:highlight w:val="none"/>
              </w:rPr>
              <w:t>（B.1）</w:t>
            </w:r>
          </w:p>
          <w:p>
            <w:pPr>
              <w:pStyle w:val="12"/>
              <w:spacing w:before="0" w:after="0" w:line="360" w:lineRule="auto"/>
              <w:ind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r>
              <w:rPr>
                <w:rFonts w:hint="default" w:ascii="Times New Roman" w:hAnsi="Times New Roman" w:eastAsia="Times New Roman" w:cs="Times New Roman"/>
                <w:i/>
                <w:color w:val="auto"/>
                <w:position w:val="1"/>
                <w:sz w:val="24"/>
                <w:szCs w:val="24"/>
                <w:highlight w:val="none"/>
              </w:rPr>
              <w:t>L</w:t>
            </w:r>
            <w:r>
              <w:rPr>
                <w:rFonts w:hint="default" w:ascii="Times New Roman" w:hAnsi="Times New Roman" w:eastAsia="Times New Roman" w:cs="Times New Roman"/>
                <w:i/>
                <w:color w:val="auto"/>
                <w:position w:val="1"/>
                <w:sz w:val="24"/>
                <w:szCs w:val="24"/>
                <w:highlight w:val="none"/>
                <w:vertAlign w:val="subscript"/>
              </w:rPr>
              <w:t>p</w:t>
            </w:r>
            <w:r>
              <w:rPr>
                <w:rFonts w:hint="default" w:ascii="Times New Roman" w:hAnsi="Times New Roman" w:eastAsia="Times New Roman" w:cs="Times New Roman"/>
                <w:color w:val="auto"/>
                <w:position w:val="1"/>
                <w:sz w:val="24"/>
                <w:szCs w:val="24"/>
                <w:highlight w:val="none"/>
                <w:vertAlign w:val="subscript"/>
              </w:rPr>
              <w:t>1</w:t>
            </w:r>
            <w:r>
              <w:rPr>
                <w:rFonts w:hint="default" w:ascii="Times New Roman" w:hAnsi="Times New Roman" w:eastAsia="Times New Roman" w:cs="Times New Roman"/>
                <w:color w:val="auto"/>
                <w:position w:val="1"/>
                <w:sz w:val="24"/>
                <w:szCs w:val="24"/>
                <w:highlight w:val="none"/>
              </w:rPr>
              <w:t>——</w:t>
            </w:r>
            <w:r>
              <w:rPr>
                <w:rFonts w:hint="default" w:ascii="Times New Roman" w:hAnsi="Times New Roman" w:cs="Times New Roman"/>
                <w:color w:val="auto"/>
                <w:spacing w:val="-3"/>
                <w:sz w:val="24"/>
                <w:szCs w:val="24"/>
                <w:highlight w:val="none"/>
              </w:rPr>
              <w:t>靠近开口处</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pacing w:val="-2"/>
                <w:sz w:val="24"/>
                <w:szCs w:val="24"/>
                <w:highlight w:val="none"/>
              </w:rPr>
              <w:t>或窗户</w:t>
            </w:r>
            <w:r>
              <w:rPr>
                <w:rFonts w:hint="default" w:ascii="Times New Roman" w:hAnsi="Times New Roman" w:cs="Times New Roman"/>
                <w:color w:val="auto"/>
                <w:spacing w:val="-3"/>
                <w:sz w:val="24"/>
                <w:szCs w:val="24"/>
                <w:highlight w:val="none"/>
              </w:rPr>
              <w:t>）</w:t>
            </w:r>
            <w:r>
              <w:rPr>
                <w:rFonts w:hint="default" w:ascii="Times New Roman" w:hAnsi="Times New Roman" w:cs="Times New Roman"/>
                <w:color w:val="auto"/>
                <w:spacing w:val="1"/>
                <w:sz w:val="24"/>
                <w:szCs w:val="24"/>
                <w:highlight w:val="none"/>
              </w:rPr>
              <w:t>室内某倍频带的声压级或</w:t>
            </w:r>
            <w:r>
              <w:rPr>
                <w:rFonts w:hint="default" w:ascii="Times New Roman" w:hAnsi="Times New Roman" w:eastAsia="Times New Roman" w:cs="Times New Roman"/>
                <w:color w:val="auto"/>
                <w:position w:val="1"/>
                <w:sz w:val="24"/>
                <w:szCs w:val="24"/>
                <w:highlight w:val="none"/>
              </w:rPr>
              <w:t>A</w:t>
            </w:r>
            <w:r>
              <w:rPr>
                <w:rFonts w:hint="default" w:ascii="Times New Roman" w:hAnsi="Times New Roman" w:cs="Times New Roman"/>
                <w:color w:val="auto"/>
                <w:spacing w:val="-2"/>
                <w:sz w:val="24"/>
                <w:szCs w:val="24"/>
                <w:highlight w:val="none"/>
              </w:rPr>
              <w:t>声级，</w:t>
            </w:r>
            <w:r>
              <w:rPr>
                <w:rFonts w:hint="default" w:ascii="Times New Roman" w:hAnsi="Times New Roman" w:eastAsia="Times New Roman" w:cs="Times New Roman"/>
                <w:color w:val="auto"/>
                <w:position w:val="1"/>
                <w:sz w:val="24"/>
                <w:szCs w:val="24"/>
                <w:highlight w:val="none"/>
              </w:rPr>
              <w:t>dB</w:t>
            </w:r>
            <w:r>
              <w:rPr>
                <w:rFonts w:hint="default" w:ascii="Times New Roman" w:hAnsi="Times New Roman" w:cs="Times New Roman"/>
                <w:color w:val="auto"/>
                <w:sz w:val="24"/>
                <w:szCs w:val="24"/>
                <w:highlight w:val="none"/>
              </w:rPr>
              <w:t>；</w:t>
            </w:r>
          </w:p>
          <w:p>
            <w:pPr>
              <w:pStyle w:val="12"/>
              <w:spacing w:before="0" w:after="0" w:line="360" w:lineRule="auto"/>
              <w:ind w:right="0" w:firstLine="1200" w:firstLineChars="500"/>
              <w:rPr>
                <w:rFonts w:hint="default" w:ascii="Times New Roman" w:hAnsi="Times New Roman" w:cs="Times New Roman"/>
                <w:color w:val="auto"/>
                <w:sz w:val="24"/>
                <w:szCs w:val="24"/>
                <w:highlight w:val="none"/>
              </w:rPr>
            </w:pPr>
            <w:r>
              <w:rPr>
                <w:rFonts w:hint="default" w:ascii="Times New Roman" w:hAnsi="Times New Roman" w:eastAsia="Times New Roman" w:cs="Times New Roman"/>
                <w:i/>
                <w:color w:val="auto"/>
                <w:position w:val="1"/>
                <w:sz w:val="24"/>
                <w:szCs w:val="24"/>
                <w:highlight w:val="none"/>
              </w:rPr>
              <w:t>L</w:t>
            </w:r>
            <w:r>
              <w:rPr>
                <w:rFonts w:hint="default" w:ascii="Times New Roman" w:hAnsi="Times New Roman" w:eastAsia="Times New Roman" w:cs="Times New Roman"/>
                <w:i/>
                <w:color w:val="auto"/>
                <w:position w:val="1"/>
                <w:sz w:val="24"/>
                <w:szCs w:val="24"/>
                <w:highlight w:val="none"/>
                <w:vertAlign w:val="subscript"/>
              </w:rPr>
              <w:t>p</w:t>
            </w:r>
            <w:r>
              <w:rPr>
                <w:rFonts w:hint="default" w:ascii="Times New Roman" w:hAnsi="Times New Roman" w:eastAsia="Times New Roman" w:cs="Times New Roman"/>
                <w:color w:val="auto"/>
                <w:position w:val="1"/>
                <w:sz w:val="24"/>
                <w:szCs w:val="24"/>
                <w:highlight w:val="none"/>
                <w:vertAlign w:val="subscript"/>
              </w:rPr>
              <w:t>2</w:t>
            </w:r>
            <w:r>
              <w:rPr>
                <w:rFonts w:hint="default" w:ascii="Times New Roman" w:hAnsi="Times New Roman" w:eastAsia="Times New Roman" w:cs="Times New Roman"/>
                <w:color w:val="auto"/>
                <w:position w:val="1"/>
                <w:sz w:val="24"/>
                <w:szCs w:val="24"/>
                <w:highlight w:val="none"/>
              </w:rPr>
              <w:t>——</w:t>
            </w:r>
            <w:r>
              <w:rPr>
                <w:rFonts w:hint="default" w:ascii="Times New Roman" w:hAnsi="Times New Roman" w:cs="Times New Roman"/>
                <w:color w:val="auto"/>
                <w:spacing w:val="-3"/>
                <w:sz w:val="24"/>
                <w:szCs w:val="24"/>
                <w:highlight w:val="none"/>
              </w:rPr>
              <w:t>靠近开口处</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pacing w:val="-2"/>
                <w:sz w:val="24"/>
                <w:szCs w:val="24"/>
                <w:highlight w:val="none"/>
              </w:rPr>
              <w:t>或窗户</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pacing w:val="-7"/>
                <w:sz w:val="24"/>
                <w:szCs w:val="24"/>
                <w:highlight w:val="none"/>
              </w:rPr>
              <w:t>室外某倍频带的声压级或</w:t>
            </w:r>
            <w:r>
              <w:rPr>
                <w:rFonts w:hint="default" w:ascii="Times New Roman" w:hAnsi="Times New Roman" w:eastAsia="Times New Roman" w:cs="Times New Roman"/>
                <w:color w:val="auto"/>
                <w:position w:val="1"/>
                <w:sz w:val="24"/>
                <w:szCs w:val="24"/>
                <w:highlight w:val="none"/>
              </w:rPr>
              <w:t>A</w:t>
            </w:r>
            <w:r>
              <w:rPr>
                <w:rFonts w:hint="default" w:ascii="Times New Roman" w:hAnsi="Times New Roman" w:cs="Times New Roman"/>
                <w:color w:val="auto"/>
                <w:spacing w:val="-2"/>
                <w:sz w:val="24"/>
                <w:szCs w:val="24"/>
                <w:highlight w:val="none"/>
              </w:rPr>
              <w:t>声级，</w:t>
            </w:r>
            <w:r>
              <w:rPr>
                <w:rFonts w:hint="default" w:ascii="Times New Roman" w:hAnsi="Times New Roman" w:eastAsia="Times New Roman" w:cs="Times New Roman"/>
                <w:color w:val="auto"/>
                <w:position w:val="1"/>
                <w:sz w:val="24"/>
                <w:szCs w:val="24"/>
                <w:highlight w:val="none"/>
              </w:rPr>
              <w:t>dB</w:t>
            </w:r>
            <w:r>
              <w:rPr>
                <w:rFonts w:hint="default" w:ascii="Times New Roman" w:hAnsi="Times New Roman" w:cs="Times New Roman"/>
                <w:color w:val="auto"/>
                <w:sz w:val="24"/>
                <w:szCs w:val="24"/>
                <w:highlight w:val="none"/>
              </w:rPr>
              <w:t>；</w:t>
            </w:r>
          </w:p>
          <w:p>
            <w:pPr>
              <w:pStyle w:val="12"/>
              <w:spacing w:before="0" w:after="0" w:line="360" w:lineRule="auto"/>
              <w:ind w:right="0" w:firstLine="1200" w:firstLineChars="500"/>
              <w:rPr>
                <w:rFonts w:hint="default" w:ascii="Times New Roman" w:hAnsi="Times New Roman" w:cs="Times New Roman"/>
                <w:color w:val="auto"/>
                <w:sz w:val="24"/>
                <w:szCs w:val="24"/>
                <w:highlight w:val="none"/>
              </w:rPr>
            </w:pPr>
            <w:r>
              <w:rPr>
                <w:rFonts w:hint="default" w:ascii="Times New Roman" w:hAnsi="Times New Roman" w:eastAsia="Times New Roman" w:cs="Times New Roman"/>
                <w:i/>
                <w:color w:val="auto"/>
                <w:position w:val="1"/>
                <w:sz w:val="24"/>
                <w:szCs w:val="24"/>
                <w:highlight w:val="none"/>
              </w:rPr>
              <w:t>TL</w:t>
            </w:r>
            <w:r>
              <w:rPr>
                <w:rFonts w:hint="default" w:ascii="Times New Roman" w:hAnsi="Times New Roman" w:eastAsia="Times New Roman" w:cs="Times New Roman"/>
                <w:color w:val="auto"/>
                <w:position w:val="1"/>
                <w:sz w:val="24"/>
                <w:szCs w:val="24"/>
                <w:highlight w:val="none"/>
              </w:rPr>
              <w:t>——</w:t>
            </w:r>
            <w:r>
              <w:rPr>
                <w:rFonts w:hint="default" w:ascii="Times New Roman" w:hAnsi="Times New Roman" w:cs="Times New Roman"/>
                <w:color w:val="auto"/>
                <w:spacing w:val="-2"/>
                <w:sz w:val="24"/>
                <w:szCs w:val="24"/>
                <w:highlight w:val="none"/>
              </w:rPr>
              <w:t>隔墙</w:t>
            </w:r>
            <w:r>
              <w:rPr>
                <w:rFonts w:hint="default" w:ascii="Times New Roman" w:hAnsi="Times New Roman" w:cs="Times New Roman"/>
                <w:color w:val="auto"/>
                <w:spacing w:val="-3"/>
                <w:sz w:val="24"/>
                <w:szCs w:val="24"/>
                <w:highlight w:val="none"/>
              </w:rPr>
              <w:t>（</w:t>
            </w:r>
            <w:r>
              <w:rPr>
                <w:rFonts w:hint="default" w:ascii="Times New Roman" w:hAnsi="Times New Roman" w:cs="Times New Roman"/>
                <w:color w:val="auto"/>
                <w:spacing w:val="-2"/>
                <w:sz w:val="24"/>
                <w:szCs w:val="24"/>
                <w:highlight w:val="none"/>
              </w:rPr>
              <w:t>或窗户</w:t>
            </w:r>
            <w:r>
              <w:rPr>
                <w:rFonts w:hint="default" w:ascii="Times New Roman" w:hAnsi="Times New Roman" w:cs="Times New Roman"/>
                <w:color w:val="auto"/>
                <w:spacing w:val="-3"/>
                <w:sz w:val="24"/>
                <w:szCs w:val="24"/>
                <w:highlight w:val="none"/>
              </w:rPr>
              <w:t>）</w:t>
            </w:r>
            <w:r>
              <w:rPr>
                <w:rFonts w:hint="default" w:ascii="Times New Roman" w:hAnsi="Times New Roman" w:cs="Times New Roman"/>
                <w:color w:val="auto"/>
                <w:spacing w:val="-14"/>
                <w:sz w:val="24"/>
                <w:szCs w:val="24"/>
                <w:highlight w:val="none"/>
              </w:rPr>
              <w:t>倍频带或</w:t>
            </w:r>
            <w:r>
              <w:rPr>
                <w:rFonts w:hint="default" w:ascii="Times New Roman" w:hAnsi="Times New Roman" w:eastAsia="Times New Roman" w:cs="Times New Roman"/>
                <w:color w:val="auto"/>
                <w:position w:val="1"/>
                <w:sz w:val="24"/>
                <w:szCs w:val="24"/>
                <w:highlight w:val="none"/>
              </w:rPr>
              <w:t>A</w:t>
            </w:r>
            <w:r>
              <w:rPr>
                <w:rFonts w:hint="default" w:ascii="Times New Roman" w:hAnsi="Times New Roman" w:cs="Times New Roman"/>
                <w:color w:val="auto"/>
                <w:spacing w:val="-3"/>
                <w:sz w:val="24"/>
                <w:szCs w:val="24"/>
                <w:highlight w:val="none"/>
              </w:rPr>
              <w:t>声级的隔声量，</w:t>
            </w:r>
            <w:r>
              <w:rPr>
                <w:rFonts w:hint="default" w:ascii="Times New Roman" w:hAnsi="Times New Roman" w:eastAsia="Times New Roman" w:cs="Times New Roman"/>
                <w:color w:val="auto"/>
                <w:position w:val="1"/>
                <w:sz w:val="24"/>
                <w:szCs w:val="24"/>
                <w:highlight w:val="none"/>
              </w:rPr>
              <w:t>dB</w:t>
            </w:r>
            <w:r>
              <w:rPr>
                <w:rFonts w:hint="default" w:ascii="Times New Roman" w:hAnsi="Times New Roman" w:cs="Times New Roman"/>
                <w:color w:val="auto"/>
                <w:sz w:val="24"/>
                <w:szCs w:val="24"/>
                <w:highlight w:val="none"/>
              </w:rPr>
              <w:t>。</w:t>
            </w:r>
          </w:p>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2829560" cy="1296035"/>
                  <wp:effectExtent l="0" t="0" r="8890" b="1841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2"/>
                          <a:stretch>
                            <a:fillRect/>
                          </a:stretch>
                        </pic:blipFill>
                        <pic:spPr>
                          <a:xfrm>
                            <a:off x="0" y="0"/>
                            <a:ext cx="2829560" cy="1296035"/>
                          </a:xfrm>
                          <a:prstGeom prst="rect">
                            <a:avLst/>
                          </a:prstGeom>
                          <a:noFill/>
                          <a:ln>
                            <a:noFill/>
                          </a:ln>
                        </pic:spPr>
                      </pic:pic>
                    </a:graphicData>
                  </a:graphic>
                </wp:inline>
              </w:drawing>
            </w:r>
          </w:p>
          <w:p>
            <w:pPr>
              <w:spacing w:line="360" w:lineRule="auto"/>
              <w:jc w:val="center"/>
              <w:rPr>
                <w:rFonts w:hint="default" w:ascii="Times New Roman" w:hAnsi="Times New Roman" w:cs="Times New Roman"/>
                <w:b/>
                <w:bCs/>
                <w:color w:val="auto"/>
                <w:highlight w:val="none"/>
              </w:rPr>
            </w:pPr>
            <w:r>
              <w:rPr>
                <w:rFonts w:hint="default" w:ascii="Times New Roman" w:hAnsi="Times New Roman" w:cs="Times New Roman"/>
                <w:b/>
                <w:bCs/>
                <w:color w:val="auto"/>
                <w:sz w:val="21"/>
                <w:szCs w:val="21"/>
                <w:highlight w:val="none"/>
              </w:rPr>
              <w:t>图4-1室内声源等效为室外声源图例</w:t>
            </w:r>
          </w:p>
          <w:p>
            <w:pPr>
              <w:pStyle w:val="12"/>
              <w:spacing w:before="0" w:after="0" w:line="360" w:lineRule="auto"/>
              <w:ind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也可按式（B.2）计算某一室内声源靠近围护结构处产生的倍频带声压级或A声级：</w:t>
            </w:r>
          </w:p>
          <w:p>
            <w:pPr>
              <w:spacing w:line="36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2115820" cy="500380"/>
                  <wp:effectExtent l="0" t="0" r="17780" b="139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3"/>
                          <a:stretch>
                            <a:fillRect/>
                          </a:stretch>
                        </pic:blipFill>
                        <pic:spPr>
                          <a:xfrm>
                            <a:off x="0" y="0"/>
                            <a:ext cx="2115820" cy="500380"/>
                          </a:xfrm>
                          <a:prstGeom prst="rect">
                            <a:avLst/>
                          </a:prstGeom>
                          <a:noFill/>
                          <a:ln>
                            <a:noFill/>
                          </a:ln>
                        </pic:spPr>
                      </pic:pic>
                    </a:graphicData>
                  </a:graphic>
                </wp:inline>
              </w:drawing>
            </w:r>
            <w:r>
              <w:rPr>
                <w:rFonts w:hint="default" w:ascii="Times New Roman" w:hAnsi="Times New Roman" w:cs="Times New Roman"/>
                <w:color w:val="auto"/>
                <w:highlight w:val="none"/>
              </w:rPr>
              <w:t>（B.2）</w:t>
            </w:r>
          </w:p>
          <w:p>
            <w:pPr>
              <w:pStyle w:val="12"/>
              <w:spacing w:before="0" w:after="0" w:line="360" w:lineRule="auto"/>
              <w:ind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w:t>
            </w:r>
            <w:r>
              <w:rPr>
                <w:rFonts w:hint="default" w:ascii="Times New Roman" w:hAnsi="Times New Roman" w:eastAsia="Times New Roman" w:cs="Times New Roman"/>
                <w:i/>
                <w:color w:val="auto"/>
                <w:position w:val="1"/>
                <w:sz w:val="24"/>
                <w:szCs w:val="24"/>
                <w:highlight w:val="none"/>
              </w:rPr>
              <w:t>L</w:t>
            </w:r>
            <w:r>
              <w:rPr>
                <w:rFonts w:hint="default" w:ascii="Times New Roman" w:hAnsi="Times New Roman" w:eastAsia="Times New Roman" w:cs="Times New Roman"/>
                <w:i/>
                <w:color w:val="auto"/>
                <w:position w:val="1"/>
                <w:sz w:val="24"/>
                <w:szCs w:val="24"/>
                <w:highlight w:val="none"/>
                <w:vertAlign w:val="subscript"/>
              </w:rPr>
              <w:t>p</w:t>
            </w:r>
            <w:r>
              <w:rPr>
                <w:rFonts w:hint="default" w:ascii="Times New Roman" w:hAnsi="Times New Roman" w:eastAsia="Times New Roman" w:cs="Times New Roman"/>
                <w:color w:val="auto"/>
                <w:position w:val="1"/>
                <w:sz w:val="24"/>
                <w:szCs w:val="24"/>
                <w:highlight w:val="none"/>
                <w:vertAlign w:val="subscript"/>
              </w:rPr>
              <w:t>1</w:t>
            </w:r>
            <w:r>
              <w:rPr>
                <w:rFonts w:hint="default" w:ascii="Times New Roman" w:hAnsi="Times New Roman" w:eastAsia="Times New Roman" w:cs="Times New Roman"/>
                <w:color w:val="auto"/>
                <w:position w:val="1"/>
                <w:sz w:val="24"/>
                <w:szCs w:val="24"/>
                <w:highlight w:val="none"/>
              </w:rPr>
              <w:t>——</w:t>
            </w:r>
            <w:r>
              <w:rPr>
                <w:rFonts w:hint="default" w:ascii="Times New Roman" w:hAnsi="Times New Roman" w:cs="Times New Roman"/>
                <w:color w:val="auto"/>
                <w:sz w:val="24"/>
                <w:szCs w:val="24"/>
                <w:highlight w:val="none"/>
              </w:rPr>
              <w:t>靠近开口处（或窗户）室内某倍频带的声压级或</w:t>
            </w:r>
            <w:r>
              <w:rPr>
                <w:rFonts w:hint="default" w:ascii="Times New Roman" w:hAnsi="Times New Roman" w:eastAsia="Times New Roman" w:cs="Times New Roman"/>
                <w:color w:val="auto"/>
                <w:position w:val="1"/>
                <w:sz w:val="24"/>
                <w:szCs w:val="24"/>
                <w:highlight w:val="none"/>
              </w:rPr>
              <w:t>A</w:t>
            </w:r>
            <w:r>
              <w:rPr>
                <w:rFonts w:hint="default" w:ascii="Times New Roman" w:hAnsi="Times New Roman" w:cs="Times New Roman"/>
                <w:color w:val="auto"/>
                <w:sz w:val="24"/>
                <w:szCs w:val="24"/>
                <w:highlight w:val="none"/>
              </w:rPr>
              <w:t>声级，</w:t>
            </w:r>
            <w:r>
              <w:rPr>
                <w:rFonts w:hint="default" w:ascii="Times New Roman" w:hAnsi="Times New Roman" w:eastAsia="Times New Roman" w:cs="Times New Roman"/>
                <w:color w:val="auto"/>
                <w:position w:val="1"/>
                <w:sz w:val="24"/>
                <w:szCs w:val="24"/>
                <w:highlight w:val="none"/>
              </w:rPr>
              <w:t>dB</w:t>
            </w:r>
            <w:r>
              <w:rPr>
                <w:rFonts w:hint="default" w:ascii="Times New Roman" w:hAnsi="Times New Roman" w:cs="Times New Roman"/>
                <w:color w:val="auto"/>
                <w:sz w:val="24"/>
                <w:szCs w:val="24"/>
                <w:highlight w:val="none"/>
              </w:rPr>
              <w:t>；</w:t>
            </w:r>
          </w:p>
          <w:p>
            <w:pPr>
              <w:pStyle w:val="12"/>
              <w:spacing w:before="0" w:after="0" w:line="360" w:lineRule="auto"/>
              <w:ind w:right="0" w:firstLine="1200" w:firstLineChars="500"/>
              <w:rPr>
                <w:rFonts w:hint="default" w:ascii="Times New Roman" w:hAnsi="Times New Roman" w:cs="Times New Roman"/>
                <w:color w:val="auto"/>
                <w:sz w:val="24"/>
                <w:szCs w:val="24"/>
                <w:highlight w:val="none"/>
              </w:rPr>
            </w:pPr>
            <w:r>
              <w:rPr>
                <w:rFonts w:hint="default" w:ascii="Times New Roman" w:hAnsi="Times New Roman" w:eastAsia="Times New Roman" w:cs="Times New Roman"/>
                <w:i/>
                <w:color w:val="auto"/>
                <w:sz w:val="24"/>
                <w:szCs w:val="24"/>
                <w:highlight w:val="none"/>
              </w:rPr>
              <w:t>L</w:t>
            </w:r>
            <w:r>
              <w:rPr>
                <w:rFonts w:hint="default" w:ascii="Times New Roman" w:hAnsi="Times New Roman" w:eastAsia="Times New Roman" w:cs="Times New Roman"/>
                <w:i/>
                <w:color w:val="auto"/>
                <w:sz w:val="24"/>
                <w:szCs w:val="24"/>
                <w:highlight w:val="none"/>
                <w:vertAlign w:val="subscript"/>
              </w:rPr>
              <w:t>w</w:t>
            </w:r>
            <w:r>
              <w:rPr>
                <w:rFonts w:hint="default" w:ascii="Times New Roman" w:hAnsi="Times New Roman" w:eastAsia="Times New Roman" w:cs="Times New Roman"/>
                <w:color w:val="auto"/>
                <w:sz w:val="24"/>
                <w:szCs w:val="24"/>
                <w:highlight w:val="none"/>
              </w:rPr>
              <w:t>——</w:t>
            </w:r>
            <w:r>
              <w:rPr>
                <w:rFonts w:hint="default" w:ascii="Times New Roman" w:hAnsi="Times New Roman" w:cs="Times New Roman"/>
                <w:color w:val="auto"/>
                <w:sz w:val="24"/>
                <w:szCs w:val="24"/>
                <w:highlight w:val="none"/>
              </w:rPr>
              <w:t>点声源声功率级（</w:t>
            </w:r>
            <w:r>
              <w:rPr>
                <w:rFonts w:hint="default" w:ascii="Times New Roman" w:hAnsi="Times New Roman" w:eastAsia="Times New Roman" w:cs="Times New Roman"/>
                <w:color w:val="auto"/>
                <w:sz w:val="24"/>
                <w:szCs w:val="24"/>
                <w:highlight w:val="none"/>
              </w:rPr>
              <w:t>A</w:t>
            </w:r>
            <w:r>
              <w:rPr>
                <w:rFonts w:hint="default" w:ascii="Times New Roman" w:hAnsi="Times New Roman" w:cs="Times New Roman"/>
                <w:color w:val="auto"/>
                <w:sz w:val="24"/>
                <w:szCs w:val="24"/>
                <w:highlight w:val="none"/>
              </w:rPr>
              <w:t>计权或倍频带），</w:t>
            </w:r>
            <w:r>
              <w:rPr>
                <w:rFonts w:hint="default" w:ascii="Times New Roman" w:hAnsi="Times New Roman" w:eastAsia="Times New Roman" w:cs="Times New Roman"/>
                <w:color w:val="auto"/>
                <w:sz w:val="24"/>
                <w:szCs w:val="24"/>
                <w:highlight w:val="none"/>
              </w:rPr>
              <w:t>dB</w:t>
            </w:r>
            <w:r>
              <w:rPr>
                <w:rFonts w:hint="default" w:ascii="Times New Roman" w:hAnsi="Times New Roman" w:cs="Times New Roman"/>
                <w:color w:val="auto"/>
                <w:sz w:val="24"/>
                <w:szCs w:val="24"/>
                <w:highlight w:val="none"/>
              </w:rPr>
              <w:t>；</w:t>
            </w:r>
          </w:p>
          <w:p>
            <w:pPr>
              <w:pStyle w:val="12"/>
              <w:spacing w:before="0" w:after="0" w:line="360" w:lineRule="auto"/>
              <w:ind w:right="0" w:firstLine="1200" w:firstLineChars="500"/>
              <w:rPr>
                <w:rFonts w:hint="default" w:ascii="Times New Roman" w:hAnsi="Times New Roman" w:cs="Times New Roman"/>
                <w:color w:val="auto"/>
                <w:sz w:val="24"/>
                <w:szCs w:val="24"/>
                <w:highlight w:val="none"/>
              </w:rPr>
            </w:pPr>
            <w:r>
              <w:rPr>
                <w:rFonts w:hint="default" w:ascii="Times New Roman" w:hAnsi="Times New Roman" w:eastAsia="Times New Roman" w:cs="Times New Roman"/>
                <w:i/>
                <w:color w:val="auto"/>
                <w:sz w:val="24"/>
                <w:szCs w:val="24"/>
                <w:highlight w:val="none"/>
              </w:rPr>
              <w:t>Q</w:t>
            </w:r>
            <w:r>
              <w:rPr>
                <w:rFonts w:hint="default" w:ascii="Times New Roman" w:hAnsi="Times New Roman" w:eastAsia="Times New Roman" w:cs="Times New Roman"/>
                <w:color w:val="auto"/>
                <w:sz w:val="24"/>
                <w:szCs w:val="24"/>
                <w:highlight w:val="none"/>
              </w:rPr>
              <w:t>——</w:t>
            </w:r>
            <w:r>
              <w:rPr>
                <w:rFonts w:hint="default" w:ascii="Times New Roman" w:hAnsi="Times New Roman" w:cs="Times New Roman"/>
                <w:color w:val="auto"/>
                <w:sz w:val="24"/>
                <w:szCs w:val="24"/>
                <w:highlight w:val="none"/>
              </w:rPr>
              <w:t>指向性因数；通常对无指向性声源，当声源放在房间中心时，</w:t>
            </w:r>
            <w:r>
              <w:rPr>
                <w:rFonts w:hint="default" w:ascii="Times New Roman" w:hAnsi="Times New Roman" w:eastAsia="Times New Roman" w:cs="Times New Roman"/>
                <w:i/>
                <w:color w:val="auto"/>
                <w:sz w:val="24"/>
                <w:szCs w:val="24"/>
                <w:highlight w:val="none"/>
              </w:rPr>
              <w:t>Q</w:t>
            </w:r>
            <w:r>
              <w:rPr>
                <w:rFonts w:hint="default" w:ascii="Times New Roman" w:hAnsi="Times New Roman" w:eastAsia="Times New Roman" w:cs="Times New Roman"/>
                <w:color w:val="auto"/>
                <w:sz w:val="24"/>
                <w:szCs w:val="24"/>
                <w:highlight w:val="none"/>
              </w:rPr>
              <w:t>=1</w:t>
            </w:r>
            <w:r>
              <w:rPr>
                <w:rFonts w:hint="default" w:ascii="Times New Roman" w:hAnsi="Times New Roman" w:cs="Times New Roman"/>
                <w:color w:val="auto"/>
                <w:sz w:val="24"/>
                <w:szCs w:val="24"/>
                <w:highlight w:val="none"/>
              </w:rPr>
              <w:t>；当放在一面墙的中心时，</w:t>
            </w:r>
            <w:r>
              <w:rPr>
                <w:rFonts w:hint="default" w:ascii="Times New Roman" w:hAnsi="Times New Roman" w:eastAsia="Times New Roman" w:cs="Times New Roman"/>
                <w:i/>
                <w:color w:val="auto"/>
                <w:sz w:val="24"/>
                <w:szCs w:val="24"/>
                <w:highlight w:val="none"/>
              </w:rPr>
              <w:t>Q</w:t>
            </w:r>
            <w:r>
              <w:rPr>
                <w:rFonts w:hint="default" w:ascii="Times New Roman" w:hAnsi="Times New Roman" w:eastAsia="Times New Roman" w:cs="Times New Roman"/>
                <w:color w:val="auto"/>
                <w:sz w:val="24"/>
                <w:szCs w:val="24"/>
                <w:highlight w:val="none"/>
              </w:rPr>
              <w:t>=2</w:t>
            </w:r>
            <w:r>
              <w:rPr>
                <w:rFonts w:hint="default" w:ascii="Times New Roman" w:hAnsi="Times New Roman" w:cs="Times New Roman"/>
                <w:color w:val="auto"/>
                <w:sz w:val="24"/>
                <w:szCs w:val="24"/>
                <w:highlight w:val="none"/>
              </w:rPr>
              <w:t>；当放在两面墙夹角处时，</w:t>
            </w:r>
            <w:r>
              <w:rPr>
                <w:rFonts w:hint="default" w:ascii="Times New Roman" w:hAnsi="Times New Roman" w:eastAsia="Times New Roman" w:cs="Times New Roman"/>
                <w:i/>
                <w:color w:val="auto"/>
                <w:sz w:val="24"/>
                <w:szCs w:val="24"/>
                <w:highlight w:val="none"/>
              </w:rPr>
              <w:t>Q</w:t>
            </w:r>
            <w:r>
              <w:rPr>
                <w:rFonts w:hint="default" w:ascii="Times New Roman" w:hAnsi="Times New Roman" w:eastAsia="Times New Roman" w:cs="Times New Roman"/>
                <w:color w:val="auto"/>
                <w:sz w:val="24"/>
                <w:szCs w:val="24"/>
                <w:highlight w:val="none"/>
              </w:rPr>
              <w:t>=4</w:t>
            </w:r>
            <w:r>
              <w:rPr>
                <w:rFonts w:hint="default" w:ascii="Times New Roman" w:hAnsi="Times New Roman" w:cs="Times New Roman"/>
                <w:color w:val="auto"/>
                <w:sz w:val="24"/>
                <w:szCs w:val="24"/>
                <w:highlight w:val="none"/>
              </w:rPr>
              <w:t>；当放在三面墙夹角处时，</w:t>
            </w:r>
            <w:r>
              <w:rPr>
                <w:rFonts w:hint="default" w:ascii="Times New Roman" w:hAnsi="Times New Roman" w:eastAsia="Times New Roman" w:cs="Times New Roman"/>
                <w:i/>
                <w:color w:val="auto"/>
                <w:sz w:val="24"/>
                <w:szCs w:val="24"/>
                <w:highlight w:val="none"/>
              </w:rPr>
              <w:t>Q</w:t>
            </w:r>
            <w:r>
              <w:rPr>
                <w:rFonts w:hint="default" w:ascii="Times New Roman" w:hAnsi="Times New Roman" w:eastAsia="Times New Roman" w:cs="Times New Roman"/>
                <w:color w:val="auto"/>
                <w:sz w:val="24"/>
                <w:szCs w:val="24"/>
                <w:highlight w:val="none"/>
              </w:rPr>
              <w:t>=8</w:t>
            </w:r>
            <w:r>
              <w:rPr>
                <w:rFonts w:hint="default" w:ascii="Times New Roman" w:hAnsi="Times New Roman" w:cs="Times New Roman"/>
                <w:color w:val="auto"/>
                <w:sz w:val="24"/>
                <w:szCs w:val="24"/>
                <w:highlight w:val="none"/>
              </w:rPr>
              <w:t>；</w:t>
            </w:r>
          </w:p>
          <w:p>
            <w:pPr>
              <w:spacing w:line="360" w:lineRule="auto"/>
              <w:ind w:firstLine="1200" w:firstLineChars="500"/>
              <w:rPr>
                <w:rFonts w:hint="default" w:ascii="Times New Roman" w:hAnsi="Times New Roman" w:eastAsia="Times New Roman" w:cs="Times New Roman"/>
                <w:color w:val="auto"/>
                <w:sz w:val="24"/>
                <w:szCs w:val="24"/>
                <w:highlight w:val="none"/>
                <w:lang w:val="en-US" w:eastAsia="zh-CN" w:bidi="ar-SA"/>
              </w:rPr>
            </w:pPr>
            <w:r>
              <w:rPr>
                <w:rFonts w:hint="default" w:ascii="Times New Roman" w:hAnsi="Times New Roman" w:eastAsia="Times New Roman" w:cs="Times New Roman"/>
                <w:color w:val="auto"/>
                <w:sz w:val="24"/>
                <w:szCs w:val="24"/>
                <w:highlight w:val="none"/>
                <w:lang w:val="en-US" w:eastAsia="zh-CN" w:bidi="ar-SA"/>
              </w:rPr>
              <w:t>R——房间常数；R=Sɑ/（1-ɑ），S 为房间内表面面积，m</w:t>
            </w:r>
            <w:r>
              <w:rPr>
                <w:rFonts w:hint="default" w:ascii="Times New Roman" w:hAnsi="Times New Roman" w:eastAsia="Times New Roman" w:cs="Times New Roman"/>
                <w:color w:val="auto"/>
                <w:sz w:val="24"/>
                <w:szCs w:val="24"/>
                <w:highlight w:val="none"/>
                <w:vertAlign w:val="superscript"/>
                <w:lang w:val="en-US" w:eastAsia="zh-CN" w:bidi="ar-SA"/>
              </w:rPr>
              <w:t>2</w:t>
            </w:r>
            <w:r>
              <w:rPr>
                <w:rFonts w:hint="default" w:ascii="Times New Roman" w:hAnsi="Times New Roman" w:eastAsia="Times New Roman" w:cs="Times New Roman"/>
                <w:color w:val="auto"/>
                <w:sz w:val="24"/>
                <w:szCs w:val="24"/>
                <w:highlight w:val="none"/>
                <w:lang w:val="en-US" w:eastAsia="zh-CN" w:bidi="ar-SA"/>
              </w:rPr>
              <w:t>；ɑ为平均吸声系数；</w:t>
            </w:r>
          </w:p>
          <w:p>
            <w:pPr>
              <w:pStyle w:val="28"/>
              <w:ind w:left="0" w:leftChars="0" w:firstLine="1260" w:firstLineChars="500"/>
              <w:rPr>
                <w:rFonts w:hint="default" w:ascii="Times New Roman" w:hAnsi="Times New Roman" w:cs="Times New Roman"/>
                <w:color w:val="auto"/>
                <w:kern w:val="2"/>
                <w:position w:val="1"/>
                <w:sz w:val="24"/>
                <w:szCs w:val="24"/>
                <w:highlight w:val="none"/>
              </w:rPr>
            </w:pPr>
            <w:r>
              <w:rPr>
                <w:rFonts w:hint="default" w:ascii="Times New Roman" w:hAnsi="Times New Roman" w:cs="Times New Roman"/>
                <w:color w:val="auto"/>
                <w:kern w:val="2"/>
                <w:position w:val="1"/>
                <w:sz w:val="24"/>
                <w:szCs w:val="24"/>
                <w:highlight w:val="none"/>
              </w:rPr>
              <w:t>r——声源到靠近围护结构某点处的距离，m。</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无指向性点声源几何发散衰减的基本公式是：</w:t>
            </w:r>
          </w:p>
          <w:p>
            <w:pPr>
              <w:spacing w:line="36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2155190" cy="349885"/>
                  <wp:effectExtent l="0" t="0" r="16510" b="1206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4"/>
                          <a:stretch>
                            <a:fillRect/>
                          </a:stretch>
                        </pic:blipFill>
                        <pic:spPr>
                          <a:xfrm>
                            <a:off x="0" y="0"/>
                            <a:ext cx="2155190" cy="349885"/>
                          </a:xfrm>
                          <a:prstGeom prst="rect">
                            <a:avLst/>
                          </a:prstGeom>
                          <a:noFill/>
                          <a:ln>
                            <a:noFill/>
                          </a:ln>
                        </pic:spPr>
                      </pic:pic>
                    </a:graphicData>
                  </a:graphic>
                </wp:inline>
              </w:drawing>
            </w:r>
          </w:p>
          <w:p>
            <w:pPr>
              <w:pStyle w:val="87"/>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r>
              <w:rPr>
                <w:rFonts w:hint="default" w:ascii="Times New Roman" w:hAnsi="Times New Roman" w:cs="Times New Roman"/>
                <w:i/>
                <w:iCs/>
                <w:color w:val="auto"/>
                <w:highlight w:val="none"/>
              </w:rPr>
              <w:t>Lp</w:t>
            </w:r>
            <w:r>
              <w:rPr>
                <w:rFonts w:hint="default" w:ascii="Times New Roman" w:hAnsi="Times New Roman" w:cs="Times New Roman"/>
                <w:color w:val="auto"/>
                <w:highlight w:val="none"/>
              </w:rPr>
              <w:t>(</w:t>
            </w:r>
            <w:r>
              <w:rPr>
                <w:rFonts w:hint="default" w:ascii="Times New Roman" w:hAnsi="Times New Roman" w:cs="Times New Roman"/>
                <w:i/>
                <w:iCs/>
                <w:color w:val="auto"/>
                <w:highlight w:val="none"/>
              </w:rPr>
              <w:t>r</w:t>
            </w:r>
            <w:r>
              <w:rPr>
                <w:rFonts w:hint="default" w:ascii="Times New Roman" w:hAnsi="Times New Roman" w:cs="Times New Roman"/>
                <w:color w:val="auto"/>
                <w:highlight w:val="none"/>
              </w:rPr>
              <w:t>)——预测点处声压级，dB；</w:t>
            </w:r>
          </w:p>
          <w:p>
            <w:pPr>
              <w:pStyle w:val="87"/>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Lp</w:t>
            </w:r>
            <w:r>
              <w:rPr>
                <w:rFonts w:hint="default" w:ascii="Times New Roman" w:hAnsi="Times New Roman" w:cs="Times New Roman"/>
                <w:color w:val="auto"/>
                <w:highlight w:val="none"/>
              </w:rPr>
              <w:t>(</w:t>
            </w:r>
            <w:r>
              <w:rPr>
                <w:rFonts w:hint="default" w:ascii="Times New Roman" w:hAnsi="Times New Roman" w:cs="Times New Roman"/>
                <w:i/>
                <w:iCs/>
                <w:color w:val="auto"/>
                <w:highlight w:val="none"/>
              </w:rPr>
              <w:t>r</w:t>
            </w:r>
            <w:r>
              <w:rPr>
                <w:rFonts w:hint="default" w:ascii="Times New Roman" w:hAnsi="Times New Roman" w:cs="Times New Roman"/>
                <w:color w:val="auto"/>
                <w:highlight w:val="none"/>
              </w:rPr>
              <w:t>0)——参考位置</w:t>
            </w:r>
            <w:r>
              <w:rPr>
                <w:rFonts w:hint="default" w:ascii="Times New Roman" w:hAnsi="Times New Roman" w:cs="Times New Roman"/>
                <w:i/>
                <w:iCs/>
                <w:color w:val="auto"/>
                <w:highlight w:val="none"/>
              </w:rPr>
              <w:t>r</w:t>
            </w:r>
            <w:r>
              <w:rPr>
                <w:rFonts w:hint="default" w:ascii="Times New Roman" w:hAnsi="Times New Roman" w:cs="Times New Roman"/>
                <w:color w:val="auto"/>
                <w:highlight w:val="none"/>
              </w:rPr>
              <w:t>0处的声压级，dB；</w:t>
            </w:r>
          </w:p>
          <w:p>
            <w:pPr>
              <w:pStyle w:val="87"/>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r</w:t>
            </w:r>
            <w:r>
              <w:rPr>
                <w:rFonts w:hint="default" w:ascii="Times New Roman" w:hAnsi="Times New Roman" w:cs="Times New Roman"/>
                <w:color w:val="auto"/>
                <w:highlight w:val="none"/>
              </w:rPr>
              <w:t>——预测点距声源的距离；</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r</w:t>
            </w:r>
            <w:r>
              <w:rPr>
                <w:rFonts w:hint="default" w:ascii="Times New Roman" w:hAnsi="Times New Roman" w:cs="Times New Roman"/>
                <w:color w:val="auto"/>
                <w:highlight w:val="none"/>
              </w:rPr>
              <w:t>0——参考位置距声源的距离。</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噪声贡献值计算公式如下：</w:t>
            </w:r>
          </w:p>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2660015" cy="544830"/>
                  <wp:effectExtent l="0" t="0" r="6985" b="762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5"/>
                          <a:stretch>
                            <a:fillRect/>
                          </a:stretch>
                        </pic:blipFill>
                        <pic:spPr>
                          <a:xfrm>
                            <a:off x="0" y="0"/>
                            <a:ext cx="2660015" cy="544830"/>
                          </a:xfrm>
                          <a:prstGeom prst="rect">
                            <a:avLst/>
                          </a:prstGeom>
                          <a:noFill/>
                          <a:ln>
                            <a:noFill/>
                          </a:ln>
                        </pic:spPr>
                      </pic:pic>
                    </a:graphicData>
                  </a:graphic>
                </wp:inline>
              </w:drawing>
            </w:r>
          </w:p>
          <w:p>
            <w:pPr>
              <w:autoSpaceDE w:val="0"/>
              <w:autoSpaceDN w:val="0"/>
              <w:adjustRightInd w:val="0"/>
              <w:spacing w:line="360" w:lineRule="auto"/>
              <w:ind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式中：</w:t>
            </w:r>
            <w:r>
              <w:rPr>
                <w:rFonts w:hint="default" w:ascii="Times New Roman" w:hAnsi="Times New Roman" w:cs="Times New Roman"/>
                <w:i/>
                <w:iCs/>
                <w:color w:val="auto"/>
                <w:highlight w:val="none"/>
              </w:rPr>
              <w:t>L</w:t>
            </w:r>
            <w:r>
              <w:rPr>
                <w:rFonts w:hint="default" w:ascii="Times New Roman" w:hAnsi="Times New Roman" w:cs="Times New Roman"/>
                <w:color w:val="auto"/>
                <w:highlight w:val="none"/>
              </w:rPr>
              <w:t>eqg——建设项目声源在预测点产生的噪声贡献值，dB；</w:t>
            </w:r>
          </w:p>
          <w:p>
            <w:pPr>
              <w:autoSpaceDE w:val="0"/>
              <w:autoSpaceDN w:val="0"/>
              <w:adjustRightInd w:val="0"/>
              <w:spacing w:line="360" w:lineRule="auto"/>
              <w:ind w:firstLine="1200" w:firstLineChars="500"/>
              <w:jc w:val="left"/>
              <w:rPr>
                <w:rFonts w:hint="default" w:ascii="Times New Roman" w:hAnsi="Times New Roman" w:cs="Times New Roman"/>
                <w:color w:val="auto"/>
                <w:highlight w:val="none"/>
              </w:rPr>
            </w:pPr>
            <w:r>
              <w:rPr>
                <w:rFonts w:hint="default" w:ascii="Times New Roman" w:hAnsi="Times New Roman" w:cs="Times New Roman"/>
                <w:i/>
                <w:iCs/>
                <w:color w:val="auto"/>
                <w:highlight w:val="none"/>
              </w:rPr>
              <w:t>T</w:t>
            </w:r>
            <w:r>
              <w:rPr>
                <w:rFonts w:hint="default" w:ascii="Times New Roman" w:hAnsi="Times New Roman" w:cs="Times New Roman"/>
                <w:color w:val="auto"/>
                <w:highlight w:val="none"/>
              </w:rPr>
              <w:t>——用于计算等效声级的时间，s；</w:t>
            </w:r>
          </w:p>
          <w:p>
            <w:pPr>
              <w:autoSpaceDE w:val="0"/>
              <w:autoSpaceDN w:val="0"/>
              <w:adjustRightInd w:val="0"/>
              <w:spacing w:line="360" w:lineRule="auto"/>
              <w:ind w:firstLine="1200" w:firstLineChars="500"/>
              <w:jc w:val="left"/>
              <w:rPr>
                <w:rFonts w:hint="default" w:ascii="Times New Roman" w:hAnsi="Times New Roman" w:cs="Times New Roman"/>
                <w:color w:val="auto"/>
                <w:highlight w:val="none"/>
              </w:rPr>
            </w:pPr>
            <w:r>
              <w:rPr>
                <w:rFonts w:hint="default" w:ascii="Times New Roman" w:hAnsi="Times New Roman" w:cs="Times New Roman"/>
                <w:i/>
                <w:iCs/>
                <w:color w:val="auto"/>
                <w:highlight w:val="none"/>
              </w:rPr>
              <w:t>N</w:t>
            </w:r>
            <w:r>
              <w:rPr>
                <w:rFonts w:hint="default" w:ascii="Times New Roman" w:hAnsi="Times New Roman" w:cs="Times New Roman"/>
                <w:color w:val="auto"/>
                <w:highlight w:val="none"/>
              </w:rPr>
              <w:t>——室外声源个数；</w:t>
            </w:r>
          </w:p>
          <w:p>
            <w:pPr>
              <w:autoSpaceDE w:val="0"/>
              <w:autoSpaceDN w:val="0"/>
              <w:adjustRightInd w:val="0"/>
              <w:spacing w:line="360" w:lineRule="auto"/>
              <w:ind w:firstLine="1200" w:firstLineChars="500"/>
              <w:jc w:val="left"/>
              <w:rPr>
                <w:rFonts w:hint="default" w:ascii="Times New Roman" w:hAnsi="Times New Roman" w:cs="Times New Roman"/>
                <w:color w:val="auto"/>
                <w:highlight w:val="none"/>
              </w:rPr>
            </w:pPr>
            <w:r>
              <w:rPr>
                <w:rFonts w:hint="default" w:ascii="Times New Roman" w:hAnsi="Times New Roman" w:cs="Times New Roman"/>
                <w:i/>
                <w:iCs/>
                <w:color w:val="auto"/>
                <w:highlight w:val="none"/>
              </w:rPr>
              <w:t>t</w:t>
            </w:r>
            <w:r>
              <w:rPr>
                <w:rFonts w:hint="default" w:ascii="Times New Roman" w:hAnsi="Times New Roman" w:cs="Times New Roman"/>
                <w:i/>
                <w:iCs/>
                <w:color w:val="auto"/>
                <w:highlight w:val="none"/>
                <w:vertAlign w:val="subscript"/>
              </w:rPr>
              <w:t>i</w:t>
            </w:r>
            <w:r>
              <w:rPr>
                <w:rFonts w:hint="default" w:ascii="Times New Roman" w:hAnsi="Times New Roman" w:cs="Times New Roman"/>
                <w:color w:val="auto"/>
                <w:highlight w:val="none"/>
              </w:rPr>
              <w:t>——在</w:t>
            </w:r>
            <w:r>
              <w:rPr>
                <w:rFonts w:hint="default" w:ascii="Times New Roman" w:hAnsi="Times New Roman" w:cs="Times New Roman"/>
                <w:i/>
                <w:iCs/>
                <w:color w:val="auto"/>
                <w:highlight w:val="none"/>
              </w:rPr>
              <w:t>T</w:t>
            </w:r>
            <w:r>
              <w:rPr>
                <w:rFonts w:hint="default" w:ascii="Times New Roman" w:hAnsi="Times New Roman" w:cs="Times New Roman"/>
                <w:color w:val="auto"/>
                <w:highlight w:val="none"/>
              </w:rPr>
              <w:t>时间内</w:t>
            </w:r>
            <w:r>
              <w:rPr>
                <w:rFonts w:hint="default" w:ascii="Times New Roman" w:hAnsi="Times New Roman" w:cs="Times New Roman"/>
                <w:i/>
                <w:iCs/>
                <w:color w:val="auto"/>
                <w:highlight w:val="none"/>
              </w:rPr>
              <w:t>i</w:t>
            </w:r>
            <w:r>
              <w:rPr>
                <w:rFonts w:hint="default" w:ascii="Times New Roman" w:hAnsi="Times New Roman" w:cs="Times New Roman"/>
                <w:color w:val="auto"/>
                <w:highlight w:val="none"/>
              </w:rPr>
              <w:t>声源工作时间，s；</w:t>
            </w:r>
          </w:p>
          <w:p>
            <w:pPr>
              <w:autoSpaceDE w:val="0"/>
              <w:autoSpaceDN w:val="0"/>
              <w:adjustRightInd w:val="0"/>
              <w:spacing w:line="360" w:lineRule="auto"/>
              <w:ind w:firstLine="1200" w:firstLineChars="500"/>
              <w:jc w:val="left"/>
              <w:rPr>
                <w:rFonts w:hint="default" w:ascii="Times New Roman" w:hAnsi="Times New Roman" w:cs="Times New Roman"/>
                <w:color w:val="auto"/>
                <w:highlight w:val="none"/>
              </w:rPr>
            </w:pPr>
            <w:r>
              <w:rPr>
                <w:rFonts w:hint="default" w:ascii="Times New Roman" w:hAnsi="Times New Roman" w:cs="Times New Roman"/>
                <w:i/>
                <w:iCs/>
                <w:color w:val="auto"/>
                <w:highlight w:val="none"/>
              </w:rPr>
              <w:t>M</w:t>
            </w:r>
            <w:r>
              <w:rPr>
                <w:rFonts w:hint="default" w:ascii="Times New Roman" w:hAnsi="Times New Roman" w:cs="Times New Roman"/>
                <w:color w:val="auto"/>
                <w:highlight w:val="none"/>
              </w:rPr>
              <w:t>——等效室外声源个数；</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i/>
                <w:iCs/>
                <w:color w:val="auto"/>
                <w:highlight w:val="none"/>
              </w:rPr>
              <w:t>t</w:t>
            </w:r>
            <w:r>
              <w:rPr>
                <w:rFonts w:hint="default" w:ascii="Times New Roman" w:hAnsi="Times New Roman" w:cs="Times New Roman"/>
                <w:i/>
                <w:iCs/>
                <w:color w:val="auto"/>
                <w:highlight w:val="none"/>
                <w:vertAlign w:val="subscript"/>
              </w:rPr>
              <w:t>j</w:t>
            </w:r>
            <w:r>
              <w:rPr>
                <w:rFonts w:hint="default" w:ascii="Times New Roman" w:hAnsi="Times New Roman" w:cs="Times New Roman"/>
                <w:color w:val="auto"/>
                <w:highlight w:val="none"/>
              </w:rPr>
              <w:t>——在</w:t>
            </w:r>
            <w:r>
              <w:rPr>
                <w:rFonts w:hint="default" w:ascii="Times New Roman" w:hAnsi="Times New Roman" w:cs="Times New Roman"/>
                <w:i/>
                <w:iCs/>
                <w:color w:val="auto"/>
                <w:highlight w:val="none"/>
              </w:rPr>
              <w:t>T</w:t>
            </w:r>
            <w:r>
              <w:rPr>
                <w:rFonts w:hint="default" w:ascii="Times New Roman" w:hAnsi="Times New Roman" w:cs="Times New Roman"/>
                <w:color w:val="auto"/>
                <w:highlight w:val="none"/>
              </w:rPr>
              <w:t>时间内</w:t>
            </w:r>
            <w:r>
              <w:rPr>
                <w:rFonts w:hint="default" w:ascii="Times New Roman" w:hAnsi="Times New Roman" w:cs="Times New Roman"/>
                <w:i/>
                <w:iCs/>
                <w:color w:val="auto"/>
                <w:highlight w:val="none"/>
              </w:rPr>
              <w:t>j</w:t>
            </w:r>
            <w:r>
              <w:rPr>
                <w:rFonts w:hint="default" w:ascii="Times New Roman" w:hAnsi="Times New Roman" w:cs="Times New Roman"/>
                <w:color w:val="auto"/>
                <w:highlight w:val="none"/>
              </w:rPr>
              <w:t>声源工作时间，s。</w:t>
            </w:r>
          </w:p>
          <w:p>
            <w:pPr>
              <w:spacing w:line="360" w:lineRule="auto"/>
              <w:ind w:firstLine="482" w:firstLineChars="20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室外声源在预测点产生的声级计算模型：</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户外声传播衰减包括几何发散（Adiv）、大气吸收（Aatm）、地面效应（Agr）、障碍物屏蔽（Abar）、其他多方面效应（Amisc）引起的衰减。</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根据声源声功率级或参考位置处的声压级、户外声传播衰减，计算预测点的声级，分别按下式计算。</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3620770" cy="264795"/>
                  <wp:effectExtent l="0" t="0" r="17780" b="190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6"/>
                          <a:stretch>
                            <a:fillRect/>
                          </a:stretch>
                        </pic:blipFill>
                        <pic:spPr>
                          <a:xfrm>
                            <a:off x="0" y="0"/>
                            <a:ext cx="3620770" cy="264795"/>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式中：Lp(r)——预测点处声压级，dB；</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Lw——由点声源产生的声功率级（A计权或倍频带），dB；</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DC——指向性校正，它描述点声源的等效连续声压级与产生声功率级Lw的全向点声源在规定方向的声级的偏差程度，dB；</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Adiv——几何发散引起的衰减，dB；</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Aatm——大气吸收引起的衰减，dB；</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Agr——地面效应引起的衰减，dB；</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Abar——障碍物屏蔽引起的衰减，dB；</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Amisc——其他多方面效应引起的衰减，dB。</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预测点的A声级LA(r</w:t>
            </w:r>
            <w:r>
              <w:rPr>
                <w:rFonts w:hint="eastAsia" w:cs="Times New Roman"/>
                <w:color w:val="auto"/>
                <w:highlight w:val="none"/>
                <w:lang w:eastAsia="zh-CN"/>
              </w:rPr>
              <w:t>）</w:t>
            </w:r>
            <w:r>
              <w:rPr>
                <w:rFonts w:hint="default" w:ascii="Times New Roman" w:hAnsi="Times New Roman" w:cs="Times New Roman"/>
                <w:color w:val="auto"/>
                <w:highlight w:val="none"/>
              </w:rPr>
              <w:t>可按下式计算，即将8个倍频带声压级合成，计算出预测点的A声级[LA(r)]。</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2108200" cy="534670"/>
                  <wp:effectExtent l="0" t="0" r="6350" b="1778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7"/>
                          <a:stretch>
                            <a:fillRect/>
                          </a:stretch>
                        </pic:blipFill>
                        <pic:spPr>
                          <a:xfrm>
                            <a:off x="0" y="0"/>
                            <a:ext cx="2108200" cy="534670"/>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式中：LA(r)——距声源r处的A声级，dB(A)；</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Lpi(r)——预测点（r）处，第i倍频带声压级，dB；</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ΔLi——第i倍频带的A计权网络修正值，dB。</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无指向性点声源几何发散衰减的基本公式是：</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1786255" cy="271780"/>
                  <wp:effectExtent l="0" t="0" r="4445" b="1397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8"/>
                          <a:stretch>
                            <a:fillRect/>
                          </a:stretch>
                        </pic:blipFill>
                        <pic:spPr>
                          <a:xfrm>
                            <a:off x="0" y="0"/>
                            <a:ext cx="1786255" cy="271780"/>
                          </a:xfrm>
                          <a:prstGeom prst="rect">
                            <a:avLst/>
                          </a:prstGeom>
                          <a:noFill/>
                          <a:ln>
                            <a:noFill/>
                          </a:ln>
                        </pic:spPr>
                      </pic:pic>
                    </a:graphicData>
                  </a:graphic>
                </wp:inline>
              </w:drawing>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式中：Lp(r)——预测点处声压级，dB；</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Lp(r0)——参考位置r0处的声压级，dB；</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r——预测点距声源的距离；</w:t>
            </w:r>
          </w:p>
          <w:p>
            <w:pPr>
              <w:spacing w:line="360" w:lineRule="auto"/>
              <w:ind w:firstLine="1200" w:firstLineChars="500"/>
              <w:rPr>
                <w:rFonts w:hint="default" w:ascii="Times New Roman" w:hAnsi="Times New Roman" w:cs="Times New Roman"/>
                <w:color w:val="auto"/>
                <w:highlight w:val="none"/>
              </w:rPr>
            </w:pPr>
            <w:r>
              <w:rPr>
                <w:rFonts w:hint="default" w:ascii="Times New Roman" w:hAnsi="Times New Roman" w:cs="Times New Roman"/>
                <w:color w:val="auto"/>
                <w:highlight w:val="none"/>
              </w:rPr>
              <w:t>r0——参考位置距声源的距离。</w:t>
            </w:r>
          </w:p>
          <w:p>
            <w:pPr>
              <w:adjustRightIn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各主要噪声源对各厂界预测值见下表。</w:t>
            </w:r>
          </w:p>
          <w:p>
            <w:pPr>
              <w:adjustRightInd w:val="0"/>
              <w:jc w:val="center"/>
              <w:rPr>
                <w:rFonts w:hint="default" w:ascii="Times New Roman" w:hAnsi="Times New Roman" w:cs="Times New Roman"/>
                <w:b/>
                <w:color w:val="auto"/>
                <w:sz w:val="21"/>
                <w:szCs w:val="22"/>
                <w:highlight w:val="none"/>
              </w:rPr>
            </w:pPr>
            <w:r>
              <w:rPr>
                <w:rFonts w:hint="default" w:ascii="Times New Roman" w:hAnsi="Times New Roman" w:cs="Times New Roman"/>
                <w:b/>
                <w:color w:val="auto"/>
                <w:sz w:val="21"/>
                <w:szCs w:val="22"/>
                <w:highlight w:val="none"/>
              </w:rPr>
              <w:t>表4-2</w:t>
            </w:r>
            <w:r>
              <w:rPr>
                <w:rFonts w:hint="eastAsia" w:cs="Times New Roman"/>
                <w:b/>
                <w:color w:val="auto"/>
                <w:sz w:val="21"/>
                <w:szCs w:val="22"/>
                <w:highlight w:val="none"/>
                <w:lang w:val="en-US" w:eastAsia="zh-CN"/>
              </w:rPr>
              <w:t>8</w:t>
            </w:r>
            <w:r>
              <w:rPr>
                <w:rFonts w:hint="default" w:ascii="Times New Roman" w:hAnsi="Times New Roman" w:cs="Times New Roman"/>
                <w:b/>
                <w:color w:val="auto"/>
                <w:sz w:val="21"/>
                <w:szCs w:val="22"/>
                <w:highlight w:val="none"/>
              </w:rPr>
              <w:t xml:space="preserve"> 各噪声源对厂界的影响</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9"/>
              <w:gridCol w:w="1399"/>
              <w:gridCol w:w="680"/>
              <w:gridCol w:w="1444"/>
              <w:gridCol w:w="1091"/>
              <w:gridCol w:w="786"/>
              <w:gridCol w:w="1050"/>
              <w:gridCol w:w="1051"/>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预测</w:t>
                  </w:r>
                </w:p>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点位</w:t>
                  </w:r>
                </w:p>
              </w:tc>
              <w:tc>
                <w:tcPr>
                  <w:tcW w:w="769"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噪声源</w:t>
                  </w:r>
                </w:p>
              </w:tc>
              <w:tc>
                <w:tcPr>
                  <w:tcW w:w="37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数量</w:t>
                  </w:r>
                </w:p>
                <w:p>
                  <w:pPr>
                    <w:spacing w:line="0" w:lineRule="atLeast"/>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sz w:val="21"/>
                      <w:szCs w:val="21"/>
                      <w:highlight w:val="none"/>
                    </w:rPr>
                    <w:t>（台）</w:t>
                  </w:r>
                </w:p>
              </w:tc>
              <w:tc>
                <w:tcPr>
                  <w:tcW w:w="794"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叠加治理后源强dB(A)</w:t>
                  </w:r>
                </w:p>
              </w:tc>
              <w:tc>
                <w:tcPr>
                  <w:tcW w:w="600"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设备位置</w:t>
                  </w:r>
                </w:p>
              </w:tc>
              <w:tc>
                <w:tcPr>
                  <w:tcW w:w="432"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距厂界</w:t>
                  </w:r>
                </w:p>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距离（m）</w:t>
                  </w:r>
                </w:p>
              </w:tc>
              <w:tc>
                <w:tcPr>
                  <w:tcW w:w="577"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噪声贡献值</w:t>
                  </w:r>
                </w:p>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（dB（A））</w:t>
                  </w:r>
                </w:p>
              </w:tc>
              <w:tc>
                <w:tcPr>
                  <w:tcW w:w="578"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厂界预测值</w:t>
                  </w:r>
                </w:p>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（dB（A））</w:t>
                  </w:r>
                </w:p>
              </w:tc>
              <w:tc>
                <w:tcPr>
                  <w:tcW w:w="579" w:type="pct"/>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1" w:type="pct"/>
                  <w:vMerge w:val="restart"/>
                  <w:tcBorders>
                    <w:top w:val="single" w:color="auto" w:sz="4" w:space="0"/>
                    <w:left w:val="single" w:color="auto" w:sz="4" w:space="0"/>
                    <w:right w:val="single" w:color="auto" w:sz="4" w:space="0"/>
                  </w:tcBorders>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东厂界</w:t>
                  </w: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default" w:cs="Times New Roman"/>
                      <w:bCs/>
                      <w:color w:val="auto"/>
                      <w:kern w:val="2"/>
                      <w:sz w:val="21"/>
                      <w:szCs w:val="21"/>
                      <w:highlight w:val="none"/>
                      <w:lang w:val="en-US" w:eastAsia="zh-CN"/>
                    </w:rPr>
                    <w:t>喷漆房送风机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16</w:t>
                  </w:r>
                </w:p>
              </w:tc>
              <w:tc>
                <w:tcPr>
                  <w:tcW w:w="600" w:type="pct"/>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车间内</w:t>
                  </w: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8</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等线" w:cs="Times New Roman"/>
                      <w:color w:val="auto"/>
                      <w:sz w:val="21"/>
                      <w:szCs w:val="21"/>
                      <w:highlight w:val="none"/>
                      <w:lang w:val="en-US" w:eastAsia="zh-CN"/>
                    </w:rPr>
                  </w:pPr>
                  <w:r>
                    <w:rPr>
                      <w:rFonts w:hint="eastAsia" w:eastAsia="等线" w:cs="Times New Roman"/>
                      <w:color w:val="auto"/>
                      <w:sz w:val="21"/>
                      <w:szCs w:val="21"/>
                      <w:highlight w:val="none"/>
                      <w:lang w:val="en-US" w:eastAsia="zh-CN"/>
                    </w:rPr>
                    <w:t>0</w:t>
                  </w:r>
                </w:p>
              </w:tc>
              <w:tc>
                <w:tcPr>
                  <w:tcW w:w="578" w:type="pct"/>
                  <w:vMerge w:val="restart"/>
                  <w:tcBorders>
                    <w:top w:val="single" w:color="auto" w:sz="4" w:space="0"/>
                    <w:left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昼间：45</w:t>
                  </w:r>
                </w:p>
                <w:p>
                  <w:pPr>
                    <w:jc w:val="center"/>
                    <w:rPr>
                      <w:rFonts w:hint="default"/>
                      <w:color w:val="auto"/>
                      <w:highlight w:val="none"/>
                      <w:lang w:val="en-US" w:eastAsia="zh-CN"/>
                    </w:rPr>
                  </w:pPr>
                  <w:r>
                    <w:rPr>
                      <w:rFonts w:hint="eastAsia" w:cs="Times New Roman"/>
                      <w:bCs/>
                      <w:color w:val="auto"/>
                      <w:kern w:val="2"/>
                      <w:sz w:val="21"/>
                      <w:szCs w:val="21"/>
                      <w:highlight w:val="none"/>
                      <w:lang w:val="en-US" w:eastAsia="zh-CN"/>
                    </w:rPr>
                    <w:t>夜间：22</w:t>
                  </w:r>
                </w:p>
              </w:tc>
              <w:tc>
                <w:tcPr>
                  <w:tcW w:w="579" w:type="pct"/>
                  <w:vMerge w:val="restart"/>
                  <w:tcBorders>
                    <w:top w:val="single" w:color="auto" w:sz="4" w:space="0"/>
                    <w:left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昼间：65</w:t>
                  </w:r>
                </w:p>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夜间：55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291" w:type="pct"/>
                  <w:vMerge w:val="continue"/>
                  <w:tcBorders>
                    <w:left w:val="single" w:color="auto" w:sz="4" w:space="0"/>
                    <w:right w:val="single" w:color="auto" w:sz="4" w:space="0"/>
                  </w:tcBorders>
                  <w:vAlign w:val="center"/>
                </w:tcPr>
                <w:p>
                  <w:pPr>
                    <w:spacing w:line="0" w:lineRule="atLeast"/>
                    <w:jc w:val="center"/>
                    <w:rPr>
                      <w:rFonts w:hint="default" w:ascii="Times New Roman" w:hAnsi="Times New Roman" w:cs="Times New Roman"/>
                      <w:bCs/>
                      <w:color w:val="auto"/>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车间2剪板机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2</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12</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8</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等线" w:cs="Times New Roman"/>
                      <w:color w:val="auto"/>
                      <w:sz w:val="21"/>
                      <w:szCs w:val="21"/>
                      <w:highlight w:val="none"/>
                      <w:lang w:val="en-US" w:eastAsia="zh-CN"/>
                    </w:rPr>
                  </w:pPr>
                  <w:r>
                    <w:rPr>
                      <w:rFonts w:hint="eastAsia" w:eastAsia="等线" w:cs="Times New Roman"/>
                      <w:color w:val="auto"/>
                      <w:sz w:val="21"/>
                      <w:szCs w:val="21"/>
                      <w:highlight w:val="none"/>
                      <w:lang w:val="en-US" w:eastAsia="zh-CN"/>
                    </w:rPr>
                    <w:t>0</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车间2组立机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13</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8</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车间2空压机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39</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8</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21</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车间2抛丸机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39</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8</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21</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车间3组立机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8</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车间3空压机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39</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8</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21</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车间3抛丸机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39</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8</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21</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1#布袋除尘器+1#风机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restart"/>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车间外</w:t>
                  </w: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198</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14</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2#布袋除尘器+2#风机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198</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14</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3#布袋除尘器+3#风机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7</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43</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4#布袋除尘器+4#风机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28</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39</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5#布袋除尘器+5#风机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148</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25</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活性炭吸附、脱附催化燃烧</w:t>
                  </w:r>
                  <w:r>
                    <w:rPr>
                      <w:rFonts w:hint="default" w:cs="Times New Roman"/>
                      <w:bCs/>
                      <w:color w:val="auto"/>
                      <w:kern w:val="2"/>
                      <w:sz w:val="21"/>
                      <w:szCs w:val="21"/>
                      <w:highlight w:val="none"/>
                      <w:lang w:val="en-US" w:eastAsia="zh-CN"/>
                    </w:rPr>
                    <w:t>装置配套风机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65</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148</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22</w:t>
                  </w:r>
                </w:p>
              </w:tc>
              <w:tc>
                <w:tcPr>
                  <w:tcW w:w="578" w:type="pct"/>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restart"/>
                  <w:tcBorders>
                    <w:top w:val="single" w:color="auto" w:sz="4" w:space="0"/>
                    <w:left w:val="single" w:color="auto" w:sz="4" w:space="0"/>
                    <w:right w:val="single" w:color="auto" w:sz="4" w:space="0"/>
                  </w:tcBorders>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南厂界</w:t>
                  </w: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default" w:cs="Times New Roman"/>
                      <w:bCs/>
                      <w:color w:val="auto"/>
                      <w:kern w:val="2"/>
                      <w:sz w:val="21"/>
                      <w:szCs w:val="21"/>
                      <w:highlight w:val="none"/>
                      <w:lang w:val="en-US" w:eastAsia="zh-CN"/>
                    </w:rPr>
                    <w:t>喷漆房送风机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28</w:t>
                  </w:r>
                </w:p>
              </w:tc>
              <w:tc>
                <w:tcPr>
                  <w:tcW w:w="600" w:type="pct"/>
                  <w:vMerge w:val="restart"/>
                  <w:tcBorders>
                    <w:top w:val="single" w:color="auto" w:sz="4" w:space="0"/>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sz w:val="21"/>
                      <w:szCs w:val="21"/>
                      <w:highlight w:val="none"/>
                    </w:rPr>
                    <w:t>车间内</w:t>
                  </w: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40</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578" w:type="pct"/>
                  <w:vMerge w:val="restart"/>
                  <w:tcBorders>
                    <w:top w:val="single" w:color="auto" w:sz="4" w:space="0"/>
                    <w:left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昼间：43</w:t>
                  </w:r>
                </w:p>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夜间：27</w:t>
                  </w:r>
                </w:p>
              </w:tc>
              <w:tc>
                <w:tcPr>
                  <w:tcW w:w="579" w:type="pct"/>
                  <w:vMerge w:val="restart"/>
                  <w:tcBorders>
                    <w:top w:val="single" w:color="auto" w:sz="4" w:space="0"/>
                    <w:left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昼间：65</w:t>
                  </w:r>
                </w:p>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夜间：55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spacing w:line="0" w:lineRule="atLeast"/>
                    <w:jc w:val="center"/>
                    <w:rPr>
                      <w:rFonts w:hint="default" w:ascii="Times New Roman" w:hAnsi="Times New Roman" w:cs="Times New Roman"/>
                      <w:bCs/>
                      <w:color w:val="auto"/>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eastAsia" w:cs="Times New Roman"/>
                      <w:bCs/>
                      <w:color w:val="auto"/>
                      <w:kern w:val="2"/>
                      <w:sz w:val="21"/>
                      <w:szCs w:val="21"/>
                      <w:highlight w:val="none"/>
                      <w:lang w:val="en-US" w:eastAsia="zh-CN"/>
                    </w:rPr>
                    <w:t>车间2剪板机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2</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36</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40</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4</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eastAsia" w:cs="Times New Roman"/>
                      <w:bCs/>
                      <w:color w:val="auto"/>
                      <w:kern w:val="2"/>
                      <w:sz w:val="21"/>
                      <w:szCs w:val="21"/>
                      <w:highlight w:val="none"/>
                      <w:lang w:val="en-US" w:eastAsia="zh-CN"/>
                    </w:rPr>
                    <w:t>车间2组立机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53</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40</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21</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r>
                    <w:rPr>
                      <w:rFonts w:hint="eastAsia" w:cs="Times New Roman"/>
                      <w:bCs/>
                      <w:color w:val="auto"/>
                      <w:kern w:val="2"/>
                      <w:sz w:val="21"/>
                      <w:szCs w:val="21"/>
                      <w:highlight w:val="none"/>
                      <w:lang w:val="en-US" w:eastAsia="zh-CN"/>
                    </w:rPr>
                    <w:t>车间2空压机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33</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40</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bCs/>
                      <w:color w:val="auto"/>
                      <w:kern w:val="2"/>
                      <w:sz w:val="21"/>
                      <w:szCs w:val="21"/>
                      <w:highlight w:val="none"/>
                      <w:lang w:val="en-US" w:eastAsia="zh-CN"/>
                    </w:rPr>
                    <w:t>车间2抛丸机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53</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40</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21</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bCs/>
                      <w:color w:val="auto"/>
                      <w:kern w:val="2"/>
                      <w:sz w:val="21"/>
                      <w:szCs w:val="21"/>
                      <w:highlight w:val="none"/>
                      <w:lang w:val="en-US" w:eastAsia="zh-CN"/>
                    </w:rPr>
                    <w:t>车间3组立机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53</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12</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31</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bCs/>
                      <w:color w:val="auto"/>
                      <w:kern w:val="2"/>
                      <w:sz w:val="21"/>
                      <w:szCs w:val="21"/>
                      <w:highlight w:val="none"/>
                      <w:lang w:val="en-US" w:eastAsia="zh-CN"/>
                    </w:rPr>
                    <w:t>车间3空压机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31</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12</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9</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sz w:val="21"/>
                      <w:szCs w:val="21"/>
                      <w:highlight w:val="none"/>
                    </w:rPr>
                  </w:pPr>
                  <w:r>
                    <w:rPr>
                      <w:rFonts w:hint="eastAsia" w:cs="Times New Roman"/>
                      <w:bCs/>
                      <w:color w:val="auto"/>
                      <w:kern w:val="2"/>
                      <w:sz w:val="21"/>
                      <w:szCs w:val="21"/>
                      <w:highlight w:val="none"/>
                      <w:lang w:val="en-US" w:eastAsia="zh-CN"/>
                    </w:rPr>
                    <w:t>车间3抛丸机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36</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12</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14</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1#布袋除尘器+1#风机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restart"/>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车间外</w:t>
                  </w: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82</w:t>
                  </w:r>
                </w:p>
              </w:tc>
              <w:tc>
                <w:tcPr>
                  <w:tcW w:w="57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22</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2#布袋除尘器+2#风机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40</w:t>
                  </w:r>
                </w:p>
              </w:tc>
              <w:tc>
                <w:tcPr>
                  <w:tcW w:w="57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28</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3#布袋除尘器+3#风机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40</w:t>
                  </w:r>
                </w:p>
              </w:tc>
              <w:tc>
                <w:tcPr>
                  <w:tcW w:w="57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28</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4#布袋除尘器+4#风机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11</w:t>
                  </w:r>
                </w:p>
              </w:tc>
              <w:tc>
                <w:tcPr>
                  <w:tcW w:w="57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39</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5#布袋除尘器+5#风机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11</w:t>
                  </w:r>
                </w:p>
              </w:tc>
              <w:tc>
                <w:tcPr>
                  <w:tcW w:w="57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39</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活性炭吸附、脱附催化燃烧</w:t>
                  </w:r>
                  <w:r>
                    <w:rPr>
                      <w:rFonts w:hint="default" w:cs="Times New Roman"/>
                      <w:bCs/>
                      <w:color w:val="auto"/>
                      <w:kern w:val="2"/>
                      <w:sz w:val="21"/>
                      <w:szCs w:val="21"/>
                      <w:highlight w:val="none"/>
                      <w:lang w:val="en-US" w:eastAsia="zh-CN"/>
                    </w:rPr>
                    <w:t>装置配套风机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65</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80</w:t>
                  </w:r>
                </w:p>
              </w:tc>
              <w:tc>
                <w:tcPr>
                  <w:tcW w:w="57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27</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restart"/>
                  <w:tcBorders>
                    <w:left w:val="single" w:color="auto" w:sz="4" w:space="0"/>
                    <w:right w:val="single" w:color="auto" w:sz="4" w:space="0"/>
                  </w:tcBorders>
                  <w:vAlign w:val="center"/>
                </w:tcPr>
                <w:p>
                  <w:pPr>
                    <w:widowControl/>
                    <w:jc w:val="center"/>
                    <w:rPr>
                      <w:rFonts w:hint="eastAsia"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西厂界</w:t>
                  </w: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default" w:cs="Times New Roman"/>
                      <w:bCs/>
                      <w:color w:val="auto"/>
                      <w:kern w:val="2"/>
                      <w:sz w:val="21"/>
                      <w:szCs w:val="21"/>
                      <w:highlight w:val="none"/>
                      <w:lang w:val="en-US" w:eastAsia="zh-CN"/>
                    </w:rPr>
                    <w:t>喷漆房送风机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13</w:t>
                  </w:r>
                </w:p>
              </w:tc>
              <w:tc>
                <w:tcPr>
                  <w:tcW w:w="600" w:type="pct"/>
                  <w:vMerge w:val="restart"/>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车间内</w:t>
                  </w: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42</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578" w:type="pct"/>
                  <w:vMerge w:val="restart"/>
                  <w:tcBorders>
                    <w:left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昼间：21</w:t>
                  </w:r>
                </w:p>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kern w:val="2"/>
                      <w:sz w:val="21"/>
                      <w:szCs w:val="21"/>
                      <w:highlight w:val="none"/>
                      <w:lang w:val="en-US" w:eastAsia="zh-CN"/>
                    </w:rPr>
                    <w:t>夜间：17</w:t>
                  </w:r>
                </w:p>
              </w:tc>
              <w:tc>
                <w:tcPr>
                  <w:tcW w:w="579" w:type="pct"/>
                  <w:vMerge w:val="restart"/>
                  <w:tcBorders>
                    <w:left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昼间：65</w:t>
                  </w:r>
                </w:p>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夜间：55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车间2剪板机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2</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30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42</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车间2组立机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15</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42</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车间2空压机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8</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42</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车间2抛丸机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8</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42</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车间3组立机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22</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42</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车间3空压机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8</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42</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车间3抛丸机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8</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42</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1#布袋除尘器+1#风机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restart"/>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车间外</w:t>
                  </w: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210</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14</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2#布袋除尘器+2#风机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210</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14</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3#布袋除尘器+3#风机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401</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8</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4#布袋除尘器+4#风机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390</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8</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5#布袋除尘器+5#风机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260</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12</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活性炭吸附、脱附催化燃烧</w:t>
                  </w:r>
                  <w:r>
                    <w:rPr>
                      <w:rFonts w:hint="default" w:cs="Times New Roman"/>
                      <w:bCs/>
                      <w:color w:val="auto"/>
                      <w:kern w:val="2"/>
                      <w:sz w:val="21"/>
                      <w:szCs w:val="21"/>
                      <w:highlight w:val="none"/>
                      <w:lang w:val="en-US" w:eastAsia="zh-CN"/>
                    </w:rPr>
                    <w:t>装置配套风机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65</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741" w:type="dxa"/>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260</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17</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restart"/>
                  <w:tcBorders>
                    <w:left w:val="single" w:color="auto" w:sz="4" w:space="0"/>
                    <w:right w:val="single" w:color="auto" w:sz="4" w:space="0"/>
                  </w:tcBorders>
                  <w:vAlign w:val="center"/>
                </w:tcPr>
                <w:p>
                  <w:pPr>
                    <w:widowControl/>
                    <w:jc w:val="center"/>
                    <w:rPr>
                      <w:rFonts w:hint="eastAsia"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北厂界</w:t>
                  </w: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default" w:cs="Times New Roman"/>
                      <w:bCs/>
                      <w:color w:val="auto"/>
                      <w:kern w:val="2"/>
                      <w:sz w:val="21"/>
                      <w:szCs w:val="21"/>
                      <w:highlight w:val="none"/>
                      <w:lang w:val="en-US" w:eastAsia="zh-CN"/>
                    </w:rPr>
                    <w:t>喷漆房送风机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45</w:t>
                  </w:r>
                </w:p>
              </w:tc>
              <w:tc>
                <w:tcPr>
                  <w:tcW w:w="600" w:type="pct"/>
                  <w:vMerge w:val="restart"/>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车间内</w:t>
                  </w: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33</w:t>
                  </w:r>
                </w:p>
              </w:tc>
              <w:tc>
                <w:tcPr>
                  <w:tcW w:w="578" w:type="pct"/>
                  <w:vMerge w:val="restart"/>
                  <w:tcBorders>
                    <w:left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昼间：54</w:t>
                  </w:r>
                </w:p>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kern w:val="2"/>
                      <w:sz w:val="21"/>
                      <w:szCs w:val="21"/>
                      <w:highlight w:val="none"/>
                      <w:lang w:val="en-US" w:eastAsia="zh-CN"/>
                    </w:rPr>
                    <w:t>夜间：53</w:t>
                  </w:r>
                </w:p>
              </w:tc>
              <w:tc>
                <w:tcPr>
                  <w:tcW w:w="579" w:type="pct"/>
                  <w:vMerge w:val="restart"/>
                  <w:tcBorders>
                    <w:left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昼间：65</w:t>
                  </w:r>
                </w:p>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夜间：55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车间2剪板机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2</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35</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23</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车间2组立机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27</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15</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车间2空压机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32</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20</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车间2抛丸机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27</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eastAsia"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15</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车间3组立机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31</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50</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0</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车间3空压机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53</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50</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19</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车间3抛丸机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1444" w:type="dxa"/>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37</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50</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3</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1#布袋除尘器+1#风机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restart"/>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车间外</w:t>
                  </w: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48</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2#布袋除尘器+2#风机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46</w:t>
                  </w:r>
                </w:p>
              </w:tc>
              <w:tc>
                <w:tcPr>
                  <w:tcW w:w="577"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27</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3#布袋除尘器+3#风机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46</w:t>
                  </w:r>
                </w:p>
              </w:tc>
              <w:tc>
                <w:tcPr>
                  <w:tcW w:w="57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27</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4#布袋除尘器+4#风机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74</w:t>
                  </w:r>
                </w:p>
              </w:tc>
              <w:tc>
                <w:tcPr>
                  <w:tcW w:w="57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23</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5#布袋除尘器+5#风机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eastAsia"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60</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74</w:t>
                  </w:r>
                </w:p>
              </w:tc>
              <w:tc>
                <w:tcPr>
                  <w:tcW w:w="57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23</w:t>
                  </w:r>
                </w:p>
              </w:tc>
              <w:tc>
                <w:tcPr>
                  <w:tcW w:w="578"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1"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kern w:val="2"/>
                      <w:sz w:val="21"/>
                      <w:szCs w:val="21"/>
                      <w:highlight w:val="none"/>
                    </w:rPr>
                  </w:pP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44"/>
                      <w:sz w:val="21"/>
                      <w:szCs w:val="21"/>
                      <w:highlight w:val="none"/>
                    </w:rPr>
                  </w:pPr>
                  <w:r>
                    <w:rPr>
                      <w:rFonts w:hint="eastAsia" w:cs="Times New Roman"/>
                      <w:bCs/>
                      <w:color w:val="auto"/>
                      <w:kern w:val="2"/>
                      <w:sz w:val="21"/>
                      <w:szCs w:val="21"/>
                      <w:highlight w:val="none"/>
                      <w:lang w:val="en-US" w:eastAsia="zh-CN"/>
                    </w:rPr>
                    <w:t>活性炭吸附、脱附催化燃烧</w:t>
                  </w:r>
                  <w:r>
                    <w:rPr>
                      <w:rFonts w:hint="default" w:cs="Times New Roman"/>
                      <w:bCs/>
                      <w:color w:val="auto"/>
                      <w:kern w:val="2"/>
                      <w:sz w:val="21"/>
                      <w:szCs w:val="21"/>
                      <w:highlight w:val="none"/>
                      <w:lang w:val="en-US" w:eastAsia="zh-CN"/>
                    </w:rPr>
                    <w:t>装置配套风机</w:t>
                  </w:r>
                </w:p>
              </w:tc>
              <w:tc>
                <w:tcPr>
                  <w:tcW w:w="374"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kern w:val="2"/>
                      <w:sz w:val="21"/>
                      <w:szCs w:val="21"/>
                      <w:highlight w:val="none"/>
                    </w:rPr>
                  </w:pPr>
                  <w:r>
                    <w:rPr>
                      <w:rFonts w:hint="eastAsia" w:cs="Times New Roman"/>
                      <w:bCs/>
                      <w:color w:val="auto"/>
                      <w:kern w:val="2"/>
                      <w:sz w:val="21"/>
                      <w:szCs w:val="21"/>
                      <w:highlight w:val="none"/>
                      <w:lang w:val="en-US" w:eastAsia="zh-CN"/>
                    </w:rPr>
                    <w:t>1</w:t>
                  </w:r>
                </w:p>
              </w:tc>
              <w:tc>
                <w:tcPr>
                  <w:tcW w:w="794"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65</w:t>
                  </w:r>
                </w:p>
              </w:tc>
              <w:tc>
                <w:tcPr>
                  <w:tcW w:w="600" w:type="pct"/>
                  <w:vMerge w:val="continue"/>
                  <w:tcBorders>
                    <w:left w:val="single" w:color="auto" w:sz="4" w:space="0"/>
                    <w:right w:val="single" w:color="auto" w:sz="4" w:space="0"/>
                  </w:tcBorders>
                  <w:vAlign w:val="center"/>
                </w:tcPr>
                <w:p>
                  <w:pPr>
                    <w:widowControl/>
                    <w:jc w:val="center"/>
                    <w:rPr>
                      <w:rFonts w:hint="default" w:ascii="Times New Roman" w:hAnsi="Times New Roman" w:cs="Times New Roman"/>
                      <w:bCs/>
                      <w:color w:val="auto"/>
                      <w:sz w:val="21"/>
                      <w:szCs w:val="21"/>
                      <w:highlight w:val="none"/>
                    </w:rPr>
                  </w:pPr>
                </w:p>
              </w:tc>
              <w:tc>
                <w:tcPr>
                  <w:tcW w:w="432" w:type="pct"/>
                  <w:tcBorders>
                    <w:top w:val="single" w:color="auto" w:sz="4" w:space="0"/>
                    <w:left w:val="single" w:color="auto" w:sz="4" w:space="0"/>
                    <w:bottom w:val="single" w:color="auto" w:sz="4" w:space="0"/>
                    <w:right w:val="single" w:color="auto" w:sz="4" w:space="0"/>
                  </w:tcBorders>
                  <w:vAlign w:val="center"/>
                </w:tcPr>
                <w:p>
                  <w:pPr>
                    <w:jc w:val="center"/>
                    <w:rPr>
                      <w:rFonts w:hint="default" w:cs="Times New Roman"/>
                      <w:bCs/>
                      <w:color w:val="auto"/>
                      <w:kern w:val="2"/>
                      <w:sz w:val="21"/>
                      <w:szCs w:val="21"/>
                      <w:highlight w:val="none"/>
                      <w:lang w:val="en-US" w:eastAsia="zh-CN"/>
                    </w:rPr>
                  </w:pPr>
                  <w:r>
                    <w:rPr>
                      <w:rFonts w:hint="eastAsia" w:cs="Times New Roman"/>
                      <w:bCs/>
                      <w:color w:val="auto"/>
                      <w:kern w:val="2"/>
                      <w:sz w:val="21"/>
                      <w:szCs w:val="21"/>
                      <w:highlight w:val="none"/>
                      <w:lang w:val="en-US" w:eastAsia="zh-CN"/>
                    </w:rPr>
                    <w:t>4</w:t>
                  </w:r>
                </w:p>
              </w:tc>
              <w:tc>
                <w:tcPr>
                  <w:tcW w:w="577" w:type="pc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53</w:t>
                  </w:r>
                </w:p>
              </w:tc>
              <w:tc>
                <w:tcPr>
                  <w:tcW w:w="578" w:type="pct"/>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c>
                <w:tcPr>
                  <w:tcW w:w="579" w:type="pct"/>
                  <w:vMerge w:val="continue"/>
                  <w:tcBorders>
                    <w:left w:val="single" w:color="auto" w:sz="4" w:space="0"/>
                    <w:bottom w:val="single" w:color="auto" w:sz="4" w:space="0"/>
                    <w:right w:val="single" w:color="auto" w:sz="4" w:space="0"/>
                  </w:tcBorders>
                  <w:vAlign w:val="center"/>
                </w:tcPr>
                <w:p>
                  <w:pPr>
                    <w:jc w:val="center"/>
                    <w:rPr>
                      <w:rFonts w:hint="default" w:ascii="Times New Roman" w:hAnsi="Times New Roman" w:cs="Times New Roman"/>
                      <w:bCs/>
                      <w:color w:val="auto"/>
                      <w:sz w:val="21"/>
                      <w:szCs w:val="21"/>
                      <w:highlight w:val="none"/>
                    </w:rPr>
                  </w:pPr>
                </w:p>
              </w:tc>
            </w:tr>
          </w:tbl>
          <w:p>
            <w:pPr>
              <w:autoSpaceDE w:val="0"/>
              <w:autoSpaceDN w:val="0"/>
              <w:adjustRightInd w:val="0"/>
              <w:spacing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从预测结果看，东、南</w:t>
            </w:r>
            <w:r>
              <w:rPr>
                <w:rFonts w:hint="eastAsia" w:cs="Times New Roman"/>
                <w:color w:val="auto"/>
                <w:highlight w:val="none"/>
                <w:lang w:eastAsia="zh-CN"/>
              </w:rPr>
              <w:t>、</w:t>
            </w:r>
            <w:r>
              <w:rPr>
                <w:rFonts w:hint="eastAsia" w:cs="Times New Roman"/>
                <w:color w:val="auto"/>
                <w:highlight w:val="none"/>
                <w:lang w:val="en-US" w:eastAsia="zh-CN"/>
              </w:rPr>
              <w:t>西、北</w:t>
            </w:r>
            <w:r>
              <w:rPr>
                <w:rFonts w:hint="default" w:ascii="Times New Roman" w:hAnsi="Times New Roman" w:cs="Times New Roman"/>
                <w:color w:val="auto"/>
                <w:highlight w:val="none"/>
              </w:rPr>
              <w:t>厂界昼</w:t>
            </w:r>
            <w:r>
              <w:rPr>
                <w:rFonts w:hint="eastAsia" w:cs="Times New Roman"/>
                <w:color w:val="auto"/>
                <w:highlight w:val="none"/>
                <w:lang w:eastAsia="zh-CN"/>
              </w:rPr>
              <w:t>、</w:t>
            </w:r>
            <w:r>
              <w:rPr>
                <w:rFonts w:hint="eastAsia" w:cs="Times New Roman"/>
                <w:color w:val="auto"/>
                <w:highlight w:val="none"/>
                <w:lang w:val="en-US" w:eastAsia="zh-CN"/>
              </w:rPr>
              <w:t>夜</w:t>
            </w:r>
            <w:r>
              <w:rPr>
                <w:rFonts w:hint="default" w:ascii="Times New Roman" w:hAnsi="Times New Roman" w:cs="Times New Roman"/>
                <w:color w:val="auto"/>
                <w:highlight w:val="none"/>
              </w:rPr>
              <w:t>间噪声预测值均能达到《工业企业厂界环境噪声排放标准》（</w:t>
            </w:r>
            <w:r>
              <w:rPr>
                <w:rFonts w:hint="eastAsia" w:cs="Times New Roman"/>
                <w:color w:val="auto"/>
                <w:highlight w:val="none"/>
                <w:lang w:eastAsia="zh-CN"/>
              </w:rPr>
              <w:t>GB12348-2008</w:t>
            </w:r>
            <w:r>
              <w:rPr>
                <w:rFonts w:hint="default" w:ascii="Times New Roman" w:hAnsi="Times New Roman" w:cs="Times New Roman"/>
                <w:color w:val="auto"/>
                <w:highlight w:val="none"/>
              </w:rPr>
              <w:t>）3类标准要求（昼间：65dB</w:t>
            </w:r>
            <w:r>
              <w:rPr>
                <w:rFonts w:hint="eastAsia" w:cs="Times New Roman"/>
                <w:color w:val="auto"/>
                <w:highlight w:val="none"/>
                <w:lang w:eastAsia="zh-CN"/>
              </w:rPr>
              <w:t>，</w:t>
            </w:r>
            <w:r>
              <w:rPr>
                <w:rFonts w:hint="eastAsia" w:cs="Times New Roman"/>
                <w:color w:val="auto"/>
                <w:highlight w:val="none"/>
                <w:lang w:val="en-US" w:eastAsia="zh-CN"/>
              </w:rPr>
              <w:t>夜间：55dB</w:t>
            </w:r>
            <w:r>
              <w:rPr>
                <w:rFonts w:hint="default" w:ascii="Times New Roman" w:hAnsi="Times New Roman" w:cs="Times New Roman"/>
                <w:color w:val="auto"/>
                <w:highlight w:val="none"/>
              </w:rPr>
              <w:t>），对周围声环境质量影响较小。</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本项目建成后对周边环保目标的噪声预测结果如下表所示。</w:t>
            </w:r>
          </w:p>
          <w:p>
            <w:pPr>
              <w:jc w:val="center"/>
              <w:rPr>
                <w:rFonts w:hint="default" w:ascii="Times New Roman" w:hAnsi="Times New Roman" w:cs="Times New Roman"/>
                <w:b/>
                <w:bCs/>
                <w:color w:val="auto"/>
                <w:kern w:val="2"/>
                <w:sz w:val="21"/>
                <w:szCs w:val="21"/>
                <w:highlight w:val="none"/>
                <w:lang w:val="zh-CN"/>
              </w:rPr>
            </w:pPr>
            <w:r>
              <w:rPr>
                <w:rFonts w:hint="default" w:ascii="Times New Roman" w:hAnsi="Times New Roman" w:cs="Times New Roman"/>
                <w:b/>
                <w:bCs/>
                <w:color w:val="auto"/>
                <w:kern w:val="2"/>
                <w:sz w:val="21"/>
                <w:szCs w:val="21"/>
                <w:highlight w:val="none"/>
              </w:rPr>
              <w:t>表4-2</w:t>
            </w:r>
            <w:r>
              <w:rPr>
                <w:rFonts w:hint="eastAsia" w:cs="Times New Roman"/>
                <w:b/>
                <w:bCs/>
                <w:color w:val="auto"/>
                <w:kern w:val="2"/>
                <w:sz w:val="21"/>
                <w:szCs w:val="21"/>
                <w:highlight w:val="none"/>
                <w:lang w:val="en-US" w:eastAsia="zh-CN"/>
              </w:rPr>
              <w:t>9</w:t>
            </w:r>
            <w:r>
              <w:rPr>
                <w:rFonts w:hint="default" w:ascii="Times New Roman" w:hAnsi="Times New Roman" w:cs="Times New Roman"/>
                <w:b/>
                <w:bCs/>
                <w:color w:val="auto"/>
                <w:kern w:val="2"/>
                <w:sz w:val="21"/>
                <w:szCs w:val="21"/>
                <w:highlight w:val="none"/>
              </w:rPr>
              <w:t xml:space="preserve"> </w:t>
            </w:r>
            <w:r>
              <w:rPr>
                <w:rFonts w:hint="default" w:ascii="Times New Roman" w:hAnsi="Times New Roman" w:cs="Times New Roman"/>
                <w:b/>
                <w:bCs/>
                <w:color w:val="auto"/>
                <w:kern w:val="2"/>
                <w:sz w:val="21"/>
                <w:szCs w:val="21"/>
                <w:highlight w:val="none"/>
                <w:lang w:val="zh-CN"/>
              </w:rPr>
              <w:t>主要噪声源对环保</w:t>
            </w:r>
            <w:r>
              <w:rPr>
                <w:rFonts w:hint="default" w:ascii="Times New Roman" w:hAnsi="Times New Roman" w:cs="Times New Roman"/>
                <w:b/>
                <w:bCs/>
                <w:color w:val="auto"/>
                <w:kern w:val="2"/>
                <w:sz w:val="21"/>
                <w:szCs w:val="21"/>
                <w:highlight w:val="none"/>
              </w:rPr>
              <w:t>目标</w:t>
            </w:r>
            <w:r>
              <w:rPr>
                <w:rFonts w:hint="default" w:ascii="Times New Roman" w:hAnsi="Times New Roman" w:cs="Times New Roman"/>
                <w:b/>
                <w:bCs/>
                <w:color w:val="auto"/>
                <w:kern w:val="2"/>
                <w:sz w:val="21"/>
                <w:szCs w:val="21"/>
                <w:highlight w:val="none"/>
                <w:lang w:val="zh-CN"/>
              </w:rPr>
              <w:t>声环境的影响预测</w:t>
            </w:r>
          </w:p>
          <w:tbl>
            <w:tblPr>
              <w:tblStyle w:val="29"/>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584"/>
              <w:gridCol w:w="1889"/>
              <w:gridCol w:w="654"/>
              <w:gridCol w:w="659"/>
              <w:gridCol w:w="656"/>
              <w:gridCol w:w="663"/>
              <w:gridCol w:w="654"/>
              <w:gridCol w:w="659"/>
              <w:gridCol w:w="654"/>
              <w:gridCol w:w="659"/>
              <w:gridCol w:w="667"/>
              <w:gridCol w:w="67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18" w:hRule="atLeast"/>
              </w:trPr>
              <w:tc>
                <w:tcPr>
                  <w:tcW w:w="322" w:type="pct"/>
                  <w:vMerge w:val="restart"/>
                  <w:tcBorders>
                    <w:right w:val="single" w:color="auto" w:sz="4" w:space="0"/>
                    <w:tl2br w:val="nil"/>
                    <w:tr2bl w:val="nil"/>
                  </w:tcBorders>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序号</w:t>
                  </w:r>
                </w:p>
              </w:tc>
              <w:tc>
                <w:tcPr>
                  <w:tcW w:w="104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声环境保护目标名称</w:t>
                  </w:r>
                </w:p>
              </w:tc>
              <w:tc>
                <w:tcPr>
                  <w:tcW w:w="72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 xml:space="preserve">噪声贡献值 </w:t>
                  </w:r>
                  <w:r>
                    <w:rPr>
                      <w:rFonts w:hint="default" w:ascii="Times New Roman" w:hAnsi="Times New Roman" w:cs="Times New Roman"/>
                      <w:color w:val="auto"/>
                      <w:sz w:val="21"/>
                      <w:szCs w:val="21"/>
                      <w:highlight w:val="none"/>
                    </w:rPr>
                    <w:t>/dB(A</w:t>
                  </w:r>
                  <w:r>
                    <w:rPr>
                      <w:rFonts w:hint="eastAsia" w:cs="Times New Roman"/>
                      <w:color w:val="auto"/>
                      <w:sz w:val="21"/>
                      <w:szCs w:val="21"/>
                      <w:highlight w:val="none"/>
                      <w:lang w:val="en-US" w:eastAsia="zh-CN"/>
                    </w:rPr>
                    <w:t>)</w:t>
                  </w:r>
                </w:p>
              </w:tc>
              <w:tc>
                <w:tcPr>
                  <w:tcW w:w="72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噪声</w:t>
                  </w:r>
                  <w:r>
                    <w:rPr>
                      <w:rFonts w:hint="eastAsia" w:cs="Times New Roman"/>
                      <w:color w:val="auto"/>
                      <w:sz w:val="21"/>
                      <w:szCs w:val="21"/>
                      <w:highlight w:val="none"/>
                      <w:lang w:val="en-US" w:eastAsia="zh-CN"/>
                    </w:rPr>
                    <w:t>本底</w:t>
                  </w:r>
                  <w:r>
                    <w:rPr>
                      <w:rFonts w:hint="default" w:ascii="Times New Roman" w:hAnsi="Times New Roman" w:cs="Times New Roman"/>
                      <w:color w:val="auto"/>
                      <w:sz w:val="21"/>
                      <w:szCs w:val="21"/>
                      <w:highlight w:val="none"/>
                      <w:lang w:val="zh-CN"/>
                    </w:rPr>
                    <w:t xml:space="preserve">值 </w:t>
                  </w:r>
                  <w:r>
                    <w:rPr>
                      <w:rFonts w:hint="default" w:ascii="Times New Roman" w:hAnsi="Times New Roman" w:cs="Times New Roman"/>
                      <w:color w:val="auto"/>
                      <w:sz w:val="21"/>
                      <w:szCs w:val="21"/>
                      <w:highlight w:val="none"/>
                    </w:rPr>
                    <w:t>/dB(A</w:t>
                  </w:r>
                  <w:r>
                    <w:rPr>
                      <w:rFonts w:hint="eastAsia" w:cs="Times New Roman"/>
                      <w:color w:val="auto"/>
                      <w:sz w:val="21"/>
                      <w:szCs w:val="21"/>
                      <w:highlight w:val="none"/>
                      <w:lang w:val="en-US" w:eastAsia="zh-CN"/>
                    </w:rPr>
                    <w:t>)</w:t>
                  </w:r>
                </w:p>
              </w:tc>
              <w:tc>
                <w:tcPr>
                  <w:tcW w:w="72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zh-CN"/>
                    </w:rPr>
                    <w:t>噪声</w:t>
                  </w:r>
                  <w:r>
                    <w:rPr>
                      <w:rFonts w:hint="eastAsia" w:cs="Times New Roman"/>
                      <w:color w:val="auto"/>
                      <w:sz w:val="21"/>
                      <w:szCs w:val="21"/>
                      <w:highlight w:val="none"/>
                      <w:lang w:val="en-US" w:eastAsia="zh-CN"/>
                    </w:rPr>
                    <w:t>叠加</w:t>
                  </w:r>
                  <w:r>
                    <w:rPr>
                      <w:rFonts w:hint="default" w:ascii="Times New Roman" w:hAnsi="Times New Roman" w:cs="Times New Roman"/>
                      <w:color w:val="auto"/>
                      <w:sz w:val="21"/>
                      <w:szCs w:val="21"/>
                      <w:highlight w:val="none"/>
                      <w:lang w:val="zh-CN"/>
                    </w:rPr>
                    <w:t xml:space="preserve">值 </w:t>
                  </w:r>
                  <w:r>
                    <w:rPr>
                      <w:rFonts w:hint="default" w:ascii="Times New Roman" w:hAnsi="Times New Roman" w:cs="Times New Roman"/>
                      <w:color w:val="auto"/>
                      <w:sz w:val="21"/>
                      <w:szCs w:val="21"/>
                      <w:highlight w:val="none"/>
                    </w:rPr>
                    <w:t>/dB(A</w:t>
                  </w:r>
                  <w:r>
                    <w:rPr>
                      <w:rFonts w:hint="eastAsia" w:cs="Times New Roman"/>
                      <w:color w:val="auto"/>
                      <w:sz w:val="21"/>
                      <w:szCs w:val="21"/>
                      <w:highlight w:val="none"/>
                      <w:lang w:val="en-US" w:eastAsia="zh-CN"/>
                    </w:rPr>
                    <w:t>)</w:t>
                  </w:r>
                </w:p>
              </w:tc>
              <w:tc>
                <w:tcPr>
                  <w:tcW w:w="72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噪声标准</w:t>
                  </w:r>
                  <w:r>
                    <w:rPr>
                      <w:rFonts w:hint="default" w:ascii="Times New Roman" w:hAnsi="Times New Roman" w:cs="Times New Roman"/>
                      <w:color w:val="auto"/>
                      <w:sz w:val="21"/>
                      <w:szCs w:val="21"/>
                      <w:highlight w:val="none"/>
                    </w:rPr>
                    <w:t>/dB(A)</w:t>
                  </w:r>
                </w:p>
              </w:tc>
              <w:tc>
                <w:tcPr>
                  <w:tcW w:w="73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超标和达标情况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77" w:hRule="atLeast"/>
              </w:trPr>
              <w:tc>
                <w:tcPr>
                  <w:tcW w:w="322" w:type="pct"/>
                  <w:vMerge w:val="continue"/>
                  <w:tcBorders>
                    <w:right w:val="single" w:color="auto" w:sz="4" w:space="0"/>
                    <w:tl2br w:val="nil"/>
                    <w:tr2bl w:val="nil"/>
                  </w:tcBorders>
                  <w:shd w:val="clear" w:color="auto" w:fill="FFFFFF"/>
                  <w:vAlign w:val="center"/>
                </w:tcPr>
                <w:p>
                  <w:pPr>
                    <w:jc w:val="center"/>
                    <w:rPr>
                      <w:rFonts w:hint="default" w:ascii="Times New Roman" w:hAnsi="Times New Roman" w:cs="Times New Roman"/>
                      <w:color w:val="auto"/>
                      <w:sz w:val="21"/>
                      <w:szCs w:val="21"/>
                      <w:highlight w:val="none"/>
                    </w:rPr>
                  </w:pPr>
                </w:p>
              </w:tc>
              <w:tc>
                <w:tcPr>
                  <w:tcW w:w="104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highlight w:val="none"/>
                    </w:rPr>
                  </w:pPr>
                </w:p>
              </w:tc>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昼间</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3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昼间</w:t>
                  </w: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highlight w:val="none"/>
                      <w:lang w:val="zh-CN"/>
                    </w:rPr>
                  </w:pPr>
                  <w:r>
                    <w:rPr>
                      <w:rFonts w:hint="eastAsia" w:cs="Times New Roman"/>
                      <w:color w:val="auto"/>
                      <w:sz w:val="21"/>
                      <w:szCs w:val="21"/>
                      <w:highlight w:val="none"/>
                      <w:lang w:val="en-US" w:eastAsia="zh-CN"/>
                    </w:rPr>
                    <w:t>夜间</w:t>
                  </w:r>
                </w:p>
              </w:tc>
              <w:tc>
                <w:tcPr>
                  <w:tcW w:w="61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昼间</w:t>
                  </w:r>
                </w:p>
              </w:tc>
              <w:tc>
                <w:tcPr>
                  <w:tcW w:w="6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highlight w:val="none"/>
                      <w:lang w:val="zh-CN"/>
                    </w:rPr>
                  </w:pPr>
                  <w:r>
                    <w:rPr>
                      <w:rFonts w:hint="eastAsia" w:cs="Times New Roman"/>
                      <w:color w:val="auto"/>
                      <w:sz w:val="21"/>
                      <w:szCs w:val="21"/>
                      <w:highlight w:val="none"/>
                      <w:lang w:val="en-US" w:eastAsia="zh-CN"/>
                    </w:rPr>
                    <w:t>夜间</w:t>
                  </w:r>
                </w:p>
              </w:tc>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昼间</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zh-CN"/>
                    </w:rPr>
                    <w:t>昼间</w:t>
                  </w: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夜间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0" w:hRule="atLeast"/>
              </w:trPr>
              <w:tc>
                <w:tcPr>
                  <w:tcW w:w="322" w:type="pct"/>
                  <w:tcBorders>
                    <w:right w:val="single" w:color="auto" w:sz="4" w:space="0"/>
                    <w:tl2br w:val="nil"/>
                    <w:tr2bl w:val="nil"/>
                  </w:tcBorders>
                  <w:shd w:val="clear" w:color="auto" w:fill="FFFFFF"/>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04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天津大港科技园区管委会</w:t>
                  </w:r>
                </w:p>
              </w:tc>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27</w:t>
                  </w:r>
                </w:p>
              </w:tc>
              <w:tc>
                <w:tcPr>
                  <w:tcW w:w="3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52</w:t>
                  </w:r>
                </w:p>
              </w:tc>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53</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3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3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w:t>
                  </w:r>
                </w:p>
              </w:tc>
              <w:tc>
                <w:tcPr>
                  <w:tcW w:w="36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达标</w:t>
                  </w:r>
                </w:p>
              </w:tc>
            </w:tr>
          </w:tbl>
          <w:p>
            <w:pPr>
              <w:spacing w:line="360" w:lineRule="auto"/>
              <w:ind w:firstLine="480" w:firstLineChars="200"/>
              <w:rPr>
                <w:rFonts w:hint="default" w:ascii="Times New Roman" w:hAnsi="Times New Roman" w:cs="Times New Roman"/>
                <w:b/>
                <w:color w:val="auto"/>
                <w:highlight w:val="none"/>
              </w:rPr>
            </w:pPr>
            <w:r>
              <w:rPr>
                <w:rFonts w:hint="default" w:ascii="Times New Roman" w:hAnsi="Times New Roman" w:cs="Times New Roman"/>
                <w:color w:val="auto"/>
                <w:highlight w:val="none"/>
              </w:rPr>
              <w:t>由以上预测结果可知，本项目建成后对环境保护目标天津大港科技园区管委会的昼间</w:t>
            </w:r>
            <w:r>
              <w:rPr>
                <w:rFonts w:hint="eastAsia" w:cs="Times New Roman"/>
                <w:color w:val="auto"/>
                <w:highlight w:val="none"/>
                <w:lang w:eastAsia="zh-CN"/>
              </w:rPr>
              <w:t>、</w:t>
            </w:r>
            <w:r>
              <w:rPr>
                <w:rFonts w:hint="eastAsia" w:cs="Times New Roman"/>
                <w:color w:val="auto"/>
                <w:highlight w:val="none"/>
                <w:lang w:val="en-US" w:eastAsia="zh-CN"/>
              </w:rPr>
              <w:t>夜间</w:t>
            </w:r>
            <w:r>
              <w:rPr>
                <w:rFonts w:hint="default" w:ascii="Times New Roman" w:hAnsi="Times New Roman" w:cs="Times New Roman"/>
                <w:color w:val="auto"/>
                <w:highlight w:val="none"/>
              </w:rPr>
              <w:t>噪声</w:t>
            </w:r>
            <w:r>
              <w:rPr>
                <w:rFonts w:hint="eastAsia" w:cs="Times New Roman"/>
                <w:color w:val="auto"/>
                <w:highlight w:val="none"/>
                <w:lang w:val="en-US" w:eastAsia="zh-CN"/>
              </w:rPr>
              <w:t>叠加</w:t>
            </w:r>
            <w:r>
              <w:rPr>
                <w:rFonts w:hint="default" w:ascii="Times New Roman" w:hAnsi="Times New Roman" w:cs="Times New Roman"/>
                <w:color w:val="auto"/>
                <w:highlight w:val="none"/>
              </w:rPr>
              <w:t>值能够满足《声环境质量标准》（GB3096-2008）</w:t>
            </w:r>
            <w:r>
              <w:rPr>
                <w:rFonts w:hint="eastAsia" w:cs="Times New Roman"/>
                <w:bCs/>
                <w:color w:val="auto"/>
                <w:highlight w:val="none"/>
                <w:lang w:val="en-US" w:eastAsia="zh-CN"/>
              </w:rPr>
              <w:t>2</w:t>
            </w:r>
            <w:r>
              <w:rPr>
                <w:rFonts w:hint="default" w:ascii="Times New Roman" w:hAnsi="Times New Roman" w:cs="Times New Roman"/>
                <w:bCs/>
                <w:color w:val="auto"/>
                <w:highlight w:val="none"/>
              </w:rPr>
              <w:t>类</w:t>
            </w:r>
            <w:r>
              <w:rPr>
                <w:rFonts w:hint="default" w:ascii="Times New Roman" w:hAnsi="Times New Roman" w:cs="Times New Roman"/>
                <w:color w:val="auto"/>
                <w:highlight w:val="none"/>
              </w:rPr>
              <w:t>标准限值（昼间</w:t>
            </w:r>
            <w:r>
              <w:rPr>
                <w:rFonts w:hint="eastAsia" w:cs="Times New Roman"/>
                <w:color w:val="auto"/>
                <w:highlight w:val="none"/>
                <w:lang w:eastAsia="zh-CN"/>
              </w:rPr>
              <w:t>：</w:t>
            </w:r>
            <w:r>
              <w:rPr>
                <w:rFonts w:hint="eastAsia" w:cs="Times New Roman"/>
                <w:color w:val="auto"/>
                <w:highlight w:val="none"/>
                <w:lang w:val="en-US" w:eastAsia="zh-CN"/>
              </w:rPr>
              <w:t>60</w:t>
            </w:r>
            <w:r>
              <w:rPr>
                <w:rFonts w:hint="default" w:ascii="Times New Roman" w:hAnsi="Times New Roman" w:cs="Times New Roman"/>
                <w:color w:val="auto"/>
                <w:highlight w:val="none"/>
              </w:rPr>
              <w:t>dB</w:t>
            </w:r>
            <w:r>
              <w:rPr>
                <w:rFonts w:hint="eastAsia" w:cs="Times New Roman"/>
                <w:color w:val="auto"/>
                <w:highlight w:val="none"/>
                <w:lang w:eastAsia="zh-CN"/>
              </w:rPr>
              <w:t>，</w:t>
            </w:r>
            <w:r>
              <w:rPr>
                <w:rFonts w:hint="eastAsia" w:cs="Times New Roman"/>
                <w:color w:val="auto"/>
                <w:highlight w:val="none"/>
                <w:lang w:val="en-US" w:eastAsia="zh-CN"/>
              </w:rPr>
              <w:t>夜间：50dB</w:t>
            </w:r>
            <w:r>
              <w:rPr>
                <w:rFonts w:hint="default" w:ascii="Times New Roman" w:hAnsi="Times New Roman" w:cs="Times New Roman"/>
                <w:color w:val="auto"/>
                <w:highlight w:val="none"/>
              </w:rPr>
              <w:t>）要求。</w:t>
            </w:r>
          </w:p>
          <w:p>
            <w:pPr>
              <w:tabs>
                <w:tab w:val="left" w:pos="3390"/>
              </w:tabs>
              <w:adjustRightInd w:val="0"/>
              <w:snapToGrid w:val="0"/>
              <w:spacing w:line="360" w:lineRule="auto"/>
              <w:ind w:firstLine="482" w:firstLineChars="20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2.噪声防治措施</w:t>
            </w:r>
          </w:p>
          <w:p>
            <w:pPr>
              <w:spacing w:line="360" w:lineRule="auto"/>
              <w:ind w:firstLine="480" w:firstLineChars="200"/>
              <w:rPr>
                <w:rFonts w:hint="default" w:ascii="Times New Roman" w:hAnsi="Times New Roman" w:eastAsia="Arial" w:cs="Times New Roman"/>
                <w:color w:val="auto"/>
                <w:kern w:val="2"/>
                <w:szCs w:val="24"/>
                <w:highlight w:val="none"/>
              </w:rPr>
            </w:pPr>
            <w:r>
              <w:rPr>
                <w:rFonts w:hint="default" w:ascii="Times New Roman" w:hAnsi="Times New Roman" w:cs="Times New Roman"/>
                <w:color w:val="auto"/>
                <w:kern w:val="2"/>
                <w:szCs w:val="24"/>
                <w:highlight w:val="none"/>
              </w:rPr>
              <w:t>为降低各类设备产生的噪声对周围环境的影响，满足相应的区域声环境标准，应采取如下防治措施：</w:t>
            </w:r>
          </w:p>
          <w:p>
            <w:pPr>
              <w:spacing w:line="360" w:lineRule="auto"/>
              <w:ind w:firstLine="480" w:firstLineChars="200"/>
              <w:rPr>
                <w:rFonts w:hint="default" w:ascii="Times New Roman" w:hAnsi="Times New Roman" w:eastAsia="Arial" w:cs="Times New Roman"/>
                <w:color w:val="auto"/>
                <w:kern w:val="2"/>
                <w:szCs w:val="24"/>
                <w:highlight w:val="none"/>
              </w:rPr>
            </w:pPr>
            <w:r>
              <w:rPr>
                <w:rFonts w:hint="default" w:ascii="Times New Roman" w:hAnsi="Times New Roman" w:cs="Times New Roman"/>
                <w:color w:val="auto"/>
                <w:kern w:val="2"/>
                <w:szCs w:val="24"/>
                <w:highlight w:val="none"/>
              </w:rPr>
              <w:t>①选用低噪声设备。此举不仅可以改善本项目车间内工作环境，还可以减少噪声后期治理的难度和压力，应是噪声防治的首选措施。本项目应选用低噪声设备，确保噪声的治理效果。</w:t>
            </w:r>
          </w:p>
          <w:p>
            <w:pPr>
              <w:spacing w:line="360" w:lineRule="auto"/>
              <w:ind w:firstLine="480" w:firstLineChars="200"/>
              <w:rPr>
                <w:rFonts w:hint="default" w:ascii="Times New Roman" w:hAnsi="Times New Roman" w:eastAsia="Arial" w:cs="Times New Roman"/>
                <w:color w:val="auto"/>
                <w:kern w:val="2"/>
                <w:szCs w:val="24"/>
                <w:highlight w:val="none"/>
              </w:rPr>
            </w:pPr>
            <w:r>
              <w:rPr>
                <w:rFonts w:hint="default" w:ascii="Times New Roman" w:hAnsi="Times New Roman" w:cs="Times New Roman"/>
                <w:color w:val="auto"/>
                <w:kern w:val="2"/>
                <w:szCs w:val="24"/>
                <w:highlight w:val="none"/>
              </w:rPr>
              <w:t>②运营期加强对噪声设备的维护和保养等。</w:t>
            </w:r>
          </w:p>
          <w:p>
            <w:pPr>
              <w:spacing w:line="360" w:lineRule="auto"/>
              <w:ind w:firstLine="480" w:firstLineChars="200"/>
              <w:rPr>
                <w:rFonts w:hint="default" w:ascii="Times New Roman" w:hAnsi="Times New Roman" w:cs="Times New Roman"/>
                <w:b/>
                <w:bCs/>
                <w:color w:val="auto"/>
                <w:szCs w:val="24"/>
                <w:highlight w:val="none"/>
              </w:rPr>
            </w:pPr>
            <w:r>
              <w:rPr>
                <w:rFonts w:hint="default" w:ascii="Times New Roman" w:hAnsi="Times New Roman" w:cs="Times New Roman"/>
                <w:color w:val="auto"/>
                <w:kern w:val="2"/>
                <w:szCs w:val="24"/>
                <w:highlight w:val="none"/>
              </w:rPr>
              <w:t>③厂房内合理的总平面布置，选择低噪声设备，通过基础减振</w:t>
            </w:r>
            <w:r>
              <w:rPr>
                <w:rFonts w:hint="eastAsia" w:cs="Times New Roman"/>
                <w:color w:val="auto"/>
                <w:kern w:val="2"/>
                <w:szCs w:val="24"/>
                <w:highlight w:val="none"/>
                <w:lang w:eastAsia="zh-CN"/>
              </w:rPr>
              <w:t>、</w:t>
            </w:r>
            <w:r>
              <w:rPr>
                <w:rFonts w:hint="default" w:ascii="Times New Roman" w:hAnsi="Times New Roman" w:cs="Times New Roman"/>
                <w:color w:val="auto"/>
                <w:kern w:val="2"/>
                <w:szCs w:val="24"/>
                <w:highlight w:val="none"/>
              </w:rPr>
              <w:t>厂房隔声，保证隔声量不低于</w:t>
            </w:r>
            <w:r>
              <w:rPr>
                <w:rFonts w:hint="eastAsia" w:cs="Times New Roman"/>
                <w:color w:val="auto"/>
                <w:kern w:val="2"/>
                <w:szCs w:val="24"/>
                <w:highlight w:val="none"/>
                <w:lang w:val="en-US" w:eastAsia="zh-CN"/>
              </w:rPr>
              <w:t>20</w:t>
            </w:r>
            <w:r>
              <w:rPr>
                <w:rFonts w:hint="default" w:ascii="Times New Roman" w:hAnsi="Times New Roman" w:cs="Times New Roman"/>
                <w:color w:val="auto"/>
                <w:kern w:val="2"/>
                <w:szCs w:val="24"/>
                <w:highlight w:val="none"/>
              </w:rPr>
              <w:t>dB（A）；厂房外选择低噪声设备，基础减振，同时加装隔声罩</w:t>
            </w:r>
            <w:r>
              <w:rPr>
                <w:rFonts w:hint="eastAsia" w:cs="Times New Roman"/>
                <w:color w:val="auto"/>
                <w:kern w:val="2"/>
                <w:szCs w:val="24"/>
                <w:highlight w:val="none"/>
                <w:lang w:eastAsia="zh-CN"/>
              </w:rPr>
              <w:t>，</w:t>
            </w:r>
            <w:r>
              <w:rPr>
                <w:rFonts w:hint="eastAsia" w:cs="Times New Roman"/>
                <w:color w:val="auto"/>
                <w:kern w:val="2"/>
                <w:szCs w:val="24"/>
                <w:highlight w:val="none"/>
                <w:lang w:val="en-US" w:eastAsia="zh-CN"/>
              </w:rPr>
              <w:t>隔声罩内附吸声棉</w:t>
            </w:r>
            <w:r>
              <w:rPr>
                <w:rFonts w:hint="default" w:ascii="Times New Roman" w:hAnsi="Times New Roman" w:cs="Times New Roman"/>
                <w:color w:val="auto"/>
                <w:kern w:val="2"/>
                <w:szCs w:val="24"/>
                <w:highlight w:val="none"/>
              </w:rPr>
              <w:t>，风机进、出风管道接口采用软管相连，保证隔声量不低于</w:t>
            </w:r>
            <w:r>
              <w:rPr>
                <w:rFonts w:hint="eastAsia" w:cs="Times New Roman"/>
                <w:color w:val="auto"/>
                <w:kern w:val="2"/>
                <w:szCs w:val="24"/>
                <w:highlight w:val="none"/>
                <w:lang w:val="en-US" w:eastAsia="zh-CN"/>
              </w:rPr>
              <w:t>20</w:t>
            </w:r>
            <w:r>
              <w:rPr>
                <w:rFonts w:hint="default" w:ascii="Times New Roman" w:hAnsi="Times New Roman" w:cs="Times New Roman"/>
                <w:color w:val="auto"/>
                <w:kern w:val="2"/>
                <w:szCs w:val="24"/>
                <w:highlight w:val="none"/>
              </w:rPr>
              <w:t>dB（A），使厂界噪声达标排放。</w:t>
            </w:r>
          </w:p>
          <w:p>
            <w:pPr>
              <w:tabs>
                <w:tab w:val="left" w:pos="3390"/>
              </w:tabs>
              <w:adjustRightInd w:val="0"/>
              <w:snapToGrid w:val="0"/>
              <w:spacing w:line="360" w:lineRule="auto"/>
              <w:ind w:firstLine="482" w:firstLineChars="200"/>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szCs w:val="24"/>
                <w:highlight w:val="none"/>
              </w:rPr>
              <w:t>3.噪声监测要求</w:t>
            </w:r>
          </w:p>
          <w:p>
            <w:pPr>
              <w:jc w:val="center"/>
              <w:rPr>
                <w:rFonts w:hint="default" w:ascii="Times New Roman" w:hAnsi="Times New Roman" w:cs="Times New Roman"/>
                <w:b/>
                <w:bCs/>
                <w:color w:val="auto"/>
                <w:kern w:val="2"/>
                <w:sz w:val="21"/>
                <w:szCs w:val="21"/>
                <w:highlight w:val="none"/>
              </w:rPr>
            </w:pPr>
            <w:r>
              <w:rPr>
                <w:rFonts w:hint="default" w:ascii="Times New Roman" w:hAnsi="Times New Roman" w:cs="Times New Roman"/>
                <w:b/>
                <w:bCs/>
                <w:color w:val="auto"/>
                <w:kern w:val="2"/>
                <w:sz w:val="21"/>
                <w:szCs w:val="21"/>
                <w:highlight w:val="none"/>
              </w:rPr>
              <w:t>表4-</w:t>
            </w:r>
            <w:r>
              <w:rPr>
                <w:rFonts w:hint="eastAsia" w:cs="Times New Roman"/>
                <w:b/>
                <w:bCs/>
                <w:color w:val="auto"/>
                <w:kern w:val="2"/>
                <w:sz w:val="21"/>
                <w:szCs w:val="21"/>
                <w:highlight w:val="none"/>
                <w:lang w:val="en-US" w:eastAsia="zh-CN"/>
              </w:rPr>
              <w:t>30</w:t>
            </w:r>
            <w:r>
              <w:rPr>
                <w:rFonts w:hint="default" w:ascii="Times New Roman" w:hAnsi="Times New Roman" w:cs="Times New Roman"/>
                <w:b/>
                <w:bCs/>
                <w:color w:val="auto"/>
                <w:kern w:val="2"/>
                <w:sz w:val="21"/>
                <w:szCs w:val="21"/>
                <w:highlight w:val="none"/>
              </w:rPr>
              <w:t>噪声监测要求</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590"/>
              <w:gridCol w:w="1215"/>
              <w:gridCol w:w="1275"/>
              <w:gridCol w:w="3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798" w:type="dxa"/>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项目</w:t>
                  </w:r>
                </w:p>
              </w:tc>
              <w:tc>
                <w:tcPr>
                  <w:tcW w:w="1590" w:type="dxa"/>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监测位置</w:t>
                  </w:r>
                </w:p>
              </w:tc>
              <w:tc>
                <w:tcPr>
                  <w:tcW w:w="1215" w:type="dxa"/>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监测因子</w:t>
                  </w:r>
                </w:p>
              </w:tc>
              <w:tc>
                <w:tcPr>
                  <w:tcW w:w="1275" w:type="dxa"/>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监测频次</w:t>
                  </w:r>
                </w:p>
              </w:tc>
              <w:tc>
                <w:tcPr>
                  <w:tcW w:w="3582" w:type="dxa"/>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98" w:type="dxa"/>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噪声</w:t>
                  </w:r>
                </w:p>
              </w:tc>
              <w:tc>
                <w:tcPr>
                  <w:tcW w:w="1590" w:type="dxa"/>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lang w:val="en-US" w:eastAsia="zh-CN"/>
                    </w:rPr>
                    <w:t>东、南</w:t>
                  </w:r>
                  <w:r>
                    <w:rPr>
                      <w:rFonts w:hint="eastAsia" w:cs="Times New Roman"/>
                      <w:color w:val="auto"/>
                      <w:kern w:val="2"/>
                      <w:sz w:val="21"/>
                      <w:szCs w:val="21"/>
                      <w:highlight w:val="none"/>
                      <w:lang w:val="en-US" w:eastAsia="zh-CN"/>
                    </w:rPr>
                    <w:t>、西、北</w:t>
                  </w:r>
                  <w:r>
                    <w:rPr>
                      <w:rFonts w:hint="default" w:ascii="Times New Roman" w:hAnsi="Times New Roman" w:cs="Times New Roman"/>
                      <w:color w:val="auto"/>
                      <w:kern w:val="2"/>
                      <w:sz w:val="21"/>
                      <w:szCs w:val="21"/>
                      <w:highlight w:val="none"/>
                    </w:rPr>
                    <w:t>厂界</w:t>
                  </w:r>
                </w:p>
              </w:tc>
              <w:tc>
                <w:tcPr>
                  <w:tcW w:w="1215" w:type="dxa"/>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等效连续A声级</w:t>
                  </w:r>
                </w:p>
              </w:tc>
              <w:tc>
                <w:tcPr>
                  <w:tcW w:w="1275" w:type="dxa"/>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每季度一次</w:t>
                  </w:r>
                </w:p>
              </w:tc>
              <w:tc>
                <w:tcPr>
                  <w:tcW w:w="3582" w:type="dxa"/>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《工业企业厂界环境噪声排放标准》（GB1</w:t>
                  </w:r>
                  <w:r>
                    <w:rPr>
                      <w:rFonts w:hint="eastAsia" w:cs="Times New Roman"/>
                      <w:color w:val="auto"/>
                      <w:kern w:val="2"/>
                      <w:sz w:val="21"/>
                      <w:szCs w:val="21"/>
                      <w:highlight w:val="none"/>
                      <w:lang w:val="en-US" w:eastAsia="zh-CN"/>
                    </w:rPr>
                    <w:t>234</w:t>
                  </w:r>
                  <w:r>
                    <w:rPr>
                      <w:rFonts w:hint="default" w:ascii="Times New Roman" w:hAnsi="Times New Roman" w:cs="Times New Roman"/>
                      <w:color w:val="auto"/>
                      <w:kern w:val="2"/>
                      <w:sz w:val="21"/>
                      <w:szCs w:val="21"/>
                      <w:highlight w:val="none"/>
                    </w:rPr>
                    <w:t>8-2008）中的3类区昼</w:t>
                  </w:r>
                  <w:r>
                    <w:rPr>
                      <w:rFonts w:hint="eastAsia" w:cs="Times New Roman"/>
                      <w:color w:val="auto"/>
                      <w:kern w:val="2"/>
                      <w:sz w:val="21"/>
                      <w:szCs w:val="21"/>
                      <w:highlight w:val="none"/>
                      <w:lang w:eastAsia="zh-CN"/>
                    </w:rPr>
                    <w:t>、</w:t>
                  </w:r>
                  <w:r>
                    <w:rPr>
                      <w:rFonts w:hint="eastAsia" w:cs="Times New Roman"/>
                      <w:color w:val="auto"/>
                      <w:kern w:val="2"/>
                      <w:sz w:val="21"/>
                      <w:szCs w:val="21"/>
                      <w:highlight w:val="none"/>
                      <w:lang w:val="en-US" w:eastAsia="zh-CN"/>
                    </w:rPr>
                    <w:t>夜</w:t>
                  </w:r>
                  <w:r>
                    <w:rPr>
                      <w:rFonts w:hint="default" w:ascii="Times New Roman" w:hAnsi="Times New Roman" w:cs="Times New Roman"/>
                      <w:color w:val="auto"/>
                      <w:kern w:val="2"/>
                      <w:sz w:val="21"/>
                      <w:szCs w:val="21"/>
                      <w:highlight w:val="none"/>
                    </w:rPr>
                    <w:t>间标准</w:t>
                  </w:r>
                </w:p>
              </w:tc>
            </w:tr>
          </w:tbl>
          <w:p>
            <w:pPr>
              <w:adjustRightInd w:val="0"/>
              <w:spacing w:line="360" w:lineRule="auto"/>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四．固体废物环境影响分析</w:t>
            </w:r>
          </w:p>
          <w:p>
            <w:pPr>
              <w:tabs>
                <w:tab w:val="left" w:pos="1189"/>
              </w:tabs>
              <w:autoSpaceDE w:val="0"/>
              <w:autoSpaceDN w:val="0"/>
              <w:adjustRightInd w:val="0"/>
              <w:spacing w:line="360" w:lineRule="auto"/>
              <w:ind w:firstLine="482" w:firstLineChars="200"/>
              <w:jc w:val="left"/>
              <w:rPr>
                <w:rFonts w:hint="default" w:ascii="Times New Roman" w:hAnsi="Times New Roman" w:cs="Times New Roman"/>
                <w:b/>
                <w:color w:val="auto"/>
                <w:highlight w:val="none"/>
              </w:rPr>
            </w:pPr>
            <w:r>
              <w:rPr>
                <w:rFonts w:hint="default" w:ascii="Times New Roman" w:hAnsi="Times New Roman" w:cs="Times New Roman"/>
                <w:b/>
                <w:color w:val="auto"/>
                <w:highlight w:val="none"/>
              </w:rPr>
              <w:t>1.废物类别</w:t>
            </w:r>
          </w:p>
          <w:p>
            <w:pPr>
              <w:pStyle w:val="22"/>
              <w:spacing w:line="360" w:lineRule="auto"/>
              <w:ind w:left="0"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本项目固体废物主要包括生活垃圾、一般工业固体废物、危险废物。</w:t>
            </w:r>
          </w:p>
          <w:p>
            <w:pPr>
              <w:autoSpaceDE w:val="0"/>
              <w:autoSpaceDN w:val="0"/>
              <w:adjustRightInd w:val="0"/>
              <w:spacing w:line="360" w:lineRule="auto"/>
              <w:ind w:firstLine="482" w:firstLineChars="20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1.1一般固体废物</w:t>
            </w:r>
          </w:p>
          <w:p>
            <w:pPr>
              <w:pStyle w:val="22"/>
              <w:spacing w:line="360" w:lineRule="auto"/>
              <w:ind w:left="0"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本项目新增一般工业固体废物主要为</w:t>
            </w:r>
            <w:r>
              <w:rPr>
                <w:rFonts w:hint="eastAsia" w:cs="Times New Roman"/>
                <w:color w:val="auto"/>
                <w:sz w:val="24"/>
                <w:szCs w:val="24"/>
                <w:highlight w:val="none"/>
                <w:lang w:val="en-US" w:eastAsia="zh-CN"/>
              </w:rPr>
              <w:t>废包装物、</w:t>
            </w:r>
            <w:r>
              <w:rPr>
                <w:rFonts w:hint="default" w:ascii="Times New Roman" w:hAnsi="Times New Roman" w:cs="Times New Roman"/>
                <w:color w:val="auto"/>
                <w:sz w:val="24"/>
                <w:szCs w:val="24"/>
                <w:highlight w:val="none"/>
              </w:rPr>
              <w:t>废边角料</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废焊材、焊剂</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废金属屑</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废钢砂</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废催化剂（主要成分陶瓷、铂、钯）</w:t>
            </w:r>
            <w:r>
              <w:rPr>
                <w:rFonts w:hint="eastAsia" w:cs="Times New Roman"/>
                <w:color w:val="auto"/>
                <w:sz w:val="24"/>
                <w:szCs w:val="24"/>
                <w:highlight w:val="none"/>
                <w:lang w:eastAsia="zh-CN"/>
              </w:rPr>
              <w:t>、收尘灰及废布袋、</w:t>
            </w:r>
            <w:r>
              <w:rPr>
                <w:rFonts w:hint="eastAsia" w:cs="Times New Roman"/>
                <w:color w:val="auto"/>
                <w:sz w:val="24"/>
                <w:szCs w:val="24"/>
                <w:highlight w:val="none"/>
                <w:lang w:val="en-US" w:eastAsia="zh-CN"/>
              </w:rPr>
              <w:t>废气瓶</w:t>
            </w:r>
            <w:r>
              <w:rPr>
                <w:rFonts w:hint="default" w:ascii="Times New Roman" w:hAnsi="Times New Roman" w:cs="Times New Roman"/>
                <w:color w:val="auto"/>
                <w:sz w:val="24"/>
                <w:szCs w:val="24"/>
                <w:highlight w:val="none"/>
              </w:rPr>
              <w:t>。</w:t>
            </w:r>
          </w:p>
          <w:p>
            <w:pPr>
              <w:autoSpaceDE w:val="0"/>
              <w:autoSpaceDN w:val="0"/>
              <w:adjustRightInd w:val="0"/>
              <w:spacing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（1）废包装物：</w:t>
            </w:r>
            <w:r>
              <w:rPr>
                <w:rFonts w:hint="default" w:ascii="Times New Roman" w:hAnsi="Times New Roman" w:cs="Times New Roman"/>
                <w:color w:val="auto"/>
                <w:highlight w:val="none"/>
              </w:rPr>
              <w:t>本项目拆包装会产生一定的废旧包装物，如废包装袋等，产生量约为0.5t/a，根据《一般固体废物分类与代码》（GB/T39198-2020），废包装物属于</w:t>
            </w:r>
            <w:r>
              <w:rPr>
                <w:rFonts w:hint="eastAsia" w:cs="Times New Roman"/>
                <w:color w:val="auto"/>
                <w:highlight w:val="none"/>
                <w:lang w:val="en-US" w:eastAsia="zh-CN"/>
              </w:rPr>
              <w:t>33</w:t>
            </w:r>
            <w:r>
              <w:rPr>
                <w:rFonts w:hint="default" w:ascii="Times New Roman" w:hAnsi="Times New Roman" w:cs="Times New Roman"/>
                <w:color w:val="auto"/>
                <w:highlight w:val="none"/>
              </w:rPr>
              <w:t>1-999-</w:t>
            </w:r>
            <w:r>
              <w:rPr>
                <w:rFonts w:hint="eastAsia" w:cs="Times New Roman"/>
                <w:color w:val="auto"/>
                <w:highlight w:val="none"/>
                <w:lang w:val="en-US" w:eastAsia="zh-CN"/>
              </w:rPr>
              <w:t>07</w:t>
            </w:r>
            <w:r>
              <w:rPr>
                <w:rFonts w:hint="default" w:ascii="Times New Roman" w:hAnsi="Times New Roman" w:cs="Times New Roman"/>
                <w:color w:val="auto"/>
                <w:highlight w:val="none"/>
              </w:rPr>
              <w:t>类废物，由物资回收单位回收。</w:t>
            </w:r>
          </w:p>
          <w:p>
            <w:pPr>
              <w:autoSpaceDE w:val="0"/>
              <w:autoSpaceDN w:val="0"/>
              <w:adjustRightInd w:val="0"/>
              <w:spacing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（2）</w:t>
            </w:r>
            <w:r>
              <w:rPr>
                <w:rFonts w:hint="eastAsia" w:cs="Times New Roman"/>
                <w:color w:val="auto"/>
                <w:szCs w:val="24"/>
                <w:highlight w:val="none"/>
                <w:lang w:val="en-US" w:eastAsia="zh-CN"/>
              </w:rPr>
              <w:t>废</w:t>
            </w:r>
            <w:r>
              <w:rPr>
                <w:rFonts w:hint="default" w:ascii="Times New Roman" w:hAnsi="Times New Roman" w:cs="Times New Roman"/>
                <w:color w:val="auto"/>
                <w:szCs w:val="24"/>
                <w:highlight w:val="none"/>
              </w:rPr>
              <w:t>边角料：</w:t>
            </w:r>
            <w:r>
              <w:rPr>
                <w:rFonts w:hint="default" w:ascii="Times New Roman" w:hAnsi="Times New Roman" w:cs="Times New Roman"/>
                <w:color w:val="auto"/>
                <w:highlight w:val="none"/>
              </w:rPr>
              <w:t>本项目下料工序会产生废边角料</w:t>
            </w:r>
            <w:r>
              <w:rPr>
                <w:rFonts w:hint="eastAsia" w:cs="Times New Roman"/>
                <w:color w:val="auto"/>
                <w:highlight w:val="none"/>
                <w:lang w:eastAsia="zh-CN"/>
              </w:rPr>
              <w:t>，</w:t>
            </w:r>
            <w:r>
              <w:rPr>
                <w:rFonts w:hint="eastAsia" w:cs="Times New Roman"/>
                <w:color w:val="auto"/>
                <w:highlight w:val="none"/>
                <w:lang w:val="en-US" w:eastAsia="zh-CN"/>
              </w:rPr>
              <w:t>废边角料</w:t>
            </w:r>
            <w:r>
              <w:rPr>
                <w:rFonts w:hint="default" w:ascii="Times New Roman" w:hAnsi="Times New Roman" w:cs="Times New Roman"/>
                <w:color w:val="auto"/>
                <w:highlight w:val="none"/>
              </w:rPr>
              <w:t>产生量约为2t/a，根据《一般固体废物分类与代码》（GB/T39198-2020），废</w:t>
            </w:r>
            <w:r>
              <w:rPr>
                <w:rFonts w:hint="eastAsia" w:cs="Times New Roman"/>
                <w:color w:val="auto"/>
                <w:highlight w:val="none"/>
                <w:lang w:val="en-US" w:eastAsia="zh-CN"/>
              </w:rPr>
              <w:t>边角料</w:t>
            </w:r>
            <w:r>
              <w:rPr>
                <w:rFonts w:hint="default" w:ascii="Times New Roman" w:hAnsi="Times New Roman" w:cs="Times New Roman"/>
                <w:color w:val="auto"/>
                <w:highlight w:val="none"/>
              </w:rPr>
              <w:t>属于</w:t>
            </w:r>
            <w:r>
              <w:rPr>
                <w:rFonts w:hint="eastAsia" w:cs="Times New Roman"/>
                <w:color w:val="auto"/>
                <w:highlight w:val="none"/>
                <w:lang w:val="en-US" w:eastAsia="zh-CN"/>
              </w:rPr>
              <w:t>331-</w:t>
            </w:r>
            <w:r>
              <w:rPr>
                <w:rFonts w:hint="default" w:ascii="Times New Roman" w:hAnsi="Times New Roman" w:cs="Times New Roman"/>
                <w:color w:val="auto"/>
                <w:highlight w:val="none"/>
              </w:rPr>
              <w:t>999-99类废物，集中收集后由物资部门回收。</w:t>
            </w:r>
          </w:p>
          <w:p>
            <w:pPr>
              <w:autoSpaceDE w:val="0"/>
              <w:autoSpaceDN w:val="0"/>
              <w:adjustRightInd w:val="0"/>
              <w:spacing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（3）</w:t>
            </w:r>
            <w:r>
              <w:rPr>
                <w:rFonts w:hint="default" w:ascii="Times New Roman" w:hAnsi="Times New Roman" w:cs="Times New Roman"/>
                <w:color w:val="auto"/>
                <w:sz w:val="24"/>
                <w:szCs w:val="24"/>
                <w:highlight w:val="none"/>
              </w:rPr>
              <w:t>废焊材、焊剂</w:t>
            </w:r>
            <w:r>
              <w:rPr>
                <w:rFonts w:hint="default" w:ascii="Times New Roman" w:hAnsi="Times New Roman" w:cs="Times New Roman"/>
                <w:color w:val="auto"/>
                <w:szCs w:val="24"/>
                <w:highlight w:val="none"/>
              </w:rPr>
              <w:t>：</w:t>
            </w:r>
            <w:r>
              <w:rPr>
                <w:rFonts w:hint="default" w:ascii="Times New Roman" w:hAnsi="Times New Roman" w:cs="Times New Roman"/>
                <w:color w:val="auto"/>
                <w:highlight w:val="none"/>
              </w:rPr>
              <w:t>本项目</w:t>
            </w:r>
            <w:r>
              <w:rPr>
                <w:rFonts w:hint="eastAsia" w:cs="Times New Roman"/>
                <w:color w:val="auto"/>
                <w:highlight w:val="none"/>
                <w:lang w:val="en-US" w:eastAsia="zh-CN"/>
              </w:rPr>
              <w:t>焊接工序</w:t>
            </w:r>
            <w:r>
              <w:rPr>
                <w:rFonts w:hint="default" w:ascii="Times New Roman" w:hAnsi="Times New Roman" w:cs="Times New Roman"/>
                <w:color w:val="auto"/>
                <w:highlight w:val="none"/>
              </w:rPr>
              <w:t>会产生</w:t>
            </w:r>
            <w:r>
              <w:rPr>
                <w:rFonts w:hint="default" w:ascii="Times New Roman" w:hAnsi="Times New Roman" w:cs="Times New Roman"/>
                <w:color w:val="auto"/>
                <w:sz w:val="24"/>
                <w:szCs w:val="24"/>
                <w:highlight w:val="none"/>
              </w:rPr>
              <w:t>废焊材、焊剂</w:t>
            </w:r>
            <w:r>
              <w:rPr>
                <w:rFonts w:hint="default" w:ascii="Times New Roman" w:hAnsi="Times New Roman" w:cs="Times New Roman"/>
                <w:color w:val="auto"/>
                <w:highlight w:val="none"/>
              </w:rPr>
              <w:t>，产生量约为1t/a，根据《一般固体废物分类与代码》（GB/T39198-2020），</w:t>
            </w:r>
            <w:r>
              <w:rPr>
                <w:rFonts w:hint="default" w:ascii="Times New Roman" w:hAnsi="Times New Roman" w:cs="Times New Roman"/>
                <w:color w:val="auto"/>
                <w:sz w:val="24"/>
                <w:szCs w:val="24"/>
                <w:highlight w:val="none"/>
              </w:rPr>
              <w:t>废焊材、焊剂</w:t>
            </w:r>
            <w:r>
              <w:rPr>
                <w:rFonts w:hint="default" w:ascii="Times New Roman" w:hAnsi="Times New Roman" w:cs="Times New Roman"/>
                <w:color w:val="auto"/>
                <w:highlight w:val="none"/>
              </w:rPr>
              <w:t>属于</w:t>
            </w:r>
            <w:r>
              <w:rPr>
                <w:rFonts w:hint="eastAsia" w:cs="Times New Roman"/>
                <w:color w:val="auto"/>
                <w:highlight w:val="none"/>
                <w:lang w:val="en-US" w:eastAsia="zh-CN"/>
              </w:rPr>
              <w:t>33</w:t>
            </w:r>
            <w:r>
              <w:rPr>
                <w:rFonts w:hint="default" w:ascii="Times New Roman" w:hAnsi="Times New Roman" w:cs="Times New Roman"/>
                <w:color w:val="auto"/>
                <w:highlight w:val="none"/>
              </w:rPr>
              <w:t>1-999-99类废物，集中收集后由物资部门回收。</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Cs w:val="24"/>
                <w:highlight w:val="none"/>
              </w:rPr>
              <w:t>（4）</w:t>
            </w:r>
            <w:r>
              <w:rPr>
                <w:rFonts w:hint="default" w:ascii="Times New Roman" w:hAnsi="Times New Roman" w:cs="Times New Roman"/>
                <w:color w:val="auto"/>
                <w:sz w:val="24"/>
                <w:szCs w:val="24"/>
                <w:highlight w:val="none"/>
              </w:rPr>
              <w:t>废金属屑</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highlight w:val="none"/>
              </w:rPr>
              <w:t>本项目</w:t>
            </w:r>
            <w:r>
              <w:rPr>
                <w:rFonts w:hint="eastAsia" w:cs="Times New Roman"/>
                <w:color w:val="auto"/>
                <w:highlight w:val="none"/>
                <w:lang w:val="en-US" w:eastAsia="zh-CN"/>
              </w:rPr>
              <w:t>抛丸、打磨、打孔工序</w:t>
            </w:r>
            <w:r>
              <w:rPr>
                <w:rFonts w:hint="default" w:ascii="Times New Roman" w:hAnsi="Times New Roman" w:cs="Times New Roman"/>
                <w:color w:val="auto"/>
                <w:highlight w:val="none"/>
              </w:rPr>
              <w:t>会产生</w:t>
            </w:r>
            <w:r>
              <w:rPr>
                <w:rFonts w:hint="default" w:ascii="Times New Roman" w:hAnsi="Times New Roman" w:cs="Times New Roman"/>
                <w:color w:val="auto"/>
                <w:sz w:val="24"/>
                <w:szCs w:val="24"/>
                <w:highlight w:val="none"/>
              </w:rPr>
              <w:t>废</w:t>
            </w:r>
            <w:r>
              <w:rPr>
                <w:rFonts w:hint="eastAsia" w:ascii="Times New Roman" w:hAnsi="Times New Roman" w:cs="Times New Roman"/>
                <w:color w:val="auto"/>
                <w:sz w:val="24"/>
                <w:szCs w:val="24"/>
                <w:highlight w:val="none"/>
                <w:lang w:val="en-US" w:eastAsia="zh-CN"/>
              </w:rPr>
              <w:t>金属屑</w:t>
            </w:r>
            <w:r>
              <w:rPr>
                <w:rFonts w:hint="default" w:ascii="Times New Roman" w:hAnsi="Times New Roman" w:cs="Times New Roman"/>
                <w:color w:val="auto"/>
                <w:highlight w:val="none"/>
              </w:rPr>
              <w:t>，产生量约为1t/a，根据《一般固体废物分类与代码》（GB/T39198-2020），</w:t>
            </w:r>
            <w:r>
              <w:rPr>
                <w:rFonts w:hint="default" w:ascii="Times New Roman" w:hAnsi="Times New Roman" w:cs="Times New Roman"/>
                <w:color w:val="auto"/>
                <w:sz w:val="24"/>
                <w:szCs w:val="24"/>
                <w:highlight w:val="none"/>
              </w:rPr>
              <w:t>废金属屑</w:t>
            </w:r>
            <w:r>
              <w:rPr>
                <w:rFonts w:hint="default" w:ascii="Times New Roman" w:hAnsi="Times New Roman" w:cs="Times New Roman"/>
                <w:color w:val="auto"/>
                <w:highlight w:val="none"/>
              </w:rPr>
              <w:t>属于</w:t>
            </w:r>
            <w:r>
              <w:rPr>
                <w:rFonts w:hint="eastAsia" w:cs="Times New Roman"/>
                <w:color w:val="auto"/>
                <w:highlight w:val="none"/>
                <w:lang w:val="en-US" w:eastAsia="zh-CN"/>
              </w:rPr>
              <w:t>33</w:t>
            </w:r>
            <w:r>
              <w:rPr>
                <w:rFonts w:hint="default" w:ascii="Times New Roman" w:hAnsi="Times New Roman" w:cs="Times New Roman"/>
                <w:color w:val="auto"/>
                <w:highlight w:val="none"/>
              </w:rPr>
              <w:t>1-999-99类废物，集中收集后由物资部门回收。</w:t>
            </w:r>
          </w:p>
          <w:p>
            <w:pPr>
              <w:pStyle w:val="28"/>
              <w:keepNext w:val="0"/>
              <w:keepLines w:val="0"/>
              <w:pageBreakBefore w:val="0"/>
              <w:widowControl w:val="0"/>
              <w:kinsoku/>
              <w:wordWrap/>
              <w:overflowPunct/>
              <w:topLinePunct w:val="0"/>
              <w:bidi w:val="0"/>
              <w:adjustRightInd w:val="0"/>
              <w:snapToGrid/>
              <w:spacing w:after="0" w:line="360" w:lineRule="auto"/>
              <w:ind w:left="0" w:leftChars="0" w:firstLine="504" w:firstLineChars="200"/>
              <w:rPr>
                <w:rFonts w:hint="eastAsia" w:eastAsia="宋体"/>
                <w:color w:val="auto"/>
                <w:highlight w:val="none"/>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废钢砂</w:t>
            </w:r>
            <w:r>
              <w:rPr>
                <w:rFonts w:hint="eastAsia" w:ascii="Times New Roman" w:hAnsi="Times New Roman" w:cs="Times New Roman"/>
                <w:color w:val="auto"/>
                <w:sz w:val="24"/>
                <w:szCs w:val="24"/>
                <w:highlight w:val="none"/>
                <w:lang w:eastAsia="zh-CN"/>
              </w:rPr>
              <w:t>：本项目抛丸序会产生废</w:t>
            </w:r>
            <w:r>
              <w:rPr>
                <w:rFonts w:hint="eastAsia" w:ascii="Times New Roman" w:hAnsi="Times New Roman" w:cs="Times New Roman"/>
                <w:color w:val="auto"/>
                <w:sz w:val="24"/>
                <w:szCs w:val="24"/>
                <w:highlight w:val="none"/>
                <w:lang w:val="en-US" w:eastAsia="zh-CN"/>
              </w:rPr>
              <w:t>钢砂</w:t>
            </w:r>
            <w:r>
              <w:rPr>
                <w:rFonts w:hint="eastAsia" w:ascii="Times New Roman" w:hAnsi="Times New Roman" w:cs="Times New Roman"/>
                <w:color w:val="auto"/>
                <w:sz w:val="24"/>
                <w:szCs w:val="24"/>
                <w:highlight w:val="none"/>
                <w:lang w:eastAsia="zh-CN"/>
              </w:rPr>
              <w:t>，产生量约为</w:t>
            </w:r>
            <w:r>
              <w:rPr>
                <w:rFonts w:hint="eastAsia" w:ascii="Times New Roman" w:hAnsi="Times New Roman"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eastAsia="zh-CN"/>
              </w:rPr>
              <w:t>t/a，根据《一般固体废物分类与代码》（GB/T39198-2020），</w:t>
            </w:r>
            <w:r>
              <w:rPr>
                <w:rFonts w:hint="default" w:ascii="Times New Roman" w:hAnsi="Times New Roman" w:cs="Times New Roman"/>
                <w:color w:val="auto"/>
                <w:sz w:val="24"/>
                <w:szCs w:val="24"/>
                <w:highlight w:val="none"/>
              </w:rPr>
              <w:t>废钢砂</w:t>
            </w:r>
            <w:r>
              <w:rPr>
                <w:rFonts w:hint="eastAsia" w:ascii="Times New Roman" w:hAnsi="Times New Roman" w:cs="Times New Roman"/>
                <w:color w:val="auto"/>
                <w:sz w:val="24"/>
                <w:szCs w:val="24"/>
                <w:highlight w:val="none"/>
                <w:lang w:eastAsia="zh-CN"/>
              </w:rPr>
              <w:t>属于331-999-99类废物，集中收集后由物资部门回收。</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rPr>
                <w:rFonts w:hint="default" w:ascii="Times New Roman" w:hAnsi="Times New Roman" w:cs="Times New Roman"/>
                <w:color w:val="auto"/>
                <w:szCs w:val="24"/>
                <w:highlight w:val="none"/>
              </w:rPr>
            </w:pPr>
            <w:r>
              <w:rPr>
                <w:rFonts w:hint="eastAsia" w:cs="Times New Roman"/>
                <w:color w:val="auto"/>
                <w:szCs w:val="24"/>
                <w:highlight w:val="none"/>
                <w:lang w:eastAsia="zh-CN"/>
              </w:rPr>
              <w:t>（</w:t>
            </w:r>
            <w:r>
              <w:rPr>
                <w:rFonts w:hint="eastAsia" w:cs="Times New Roman"/>
                <w:color w:val="auto"/>
                <w:szCs w:val="24"/>
                <w:highlight w:val="none"/>
                <w:lang w:val="en-US" w:eastAsia="zh-CN"/>
              </w:rPr>
              <w:t>6）</w:t>
            </w:r>
            <w:r>
              <w:rPr>
                <w:rFonts w:hint="default" w:ascii="Times New Roman" w:hAnsi="Times New Roman" w:cs="Times New Roman"/>
                <w:color w:val="auto"/>
                <w:szCs w:val="24"/>
                <w:highlight w:val="none"/>
              </w:rPr>
              <w:t>收尘灰及废布袋：本项目布袋除尘器处理破碎过程产生颗粒物会产生收尘灰及废布袋，年产生</w:t>
            </w:r>
            <w:r>
              <w:rPr>
                <w:rFonts w:hint="default" w:ascii="Times New Roman" w:hAnsi="Times New Roman" w:cs="Times New Roman"/>
                <w:color w:val="auto"/>
                <w:szCs w:val="24"/>
                <w:highlight w:val="none"/>
              </w:rPr>
              <w:t>量约</w:t>
            </w:r>
            <w:r>
              <w:rPr>
                <w:rFonts w:hint="eastAsia" w:cs="Times New Roman"/>
                <w:color w:val="auto"/>
                <w:szCs w:val="24"/>
                <w:highlight w:val="none"/>
                <w:lang w:val="en-US" w:eastAsia="zh-CN"/>
              </w:rPr>
              <w:t>2</w:t>
            </w:r>
            <w:r>
              <w:rPr>
                <w:rFonts w:hint="default" w:ascii="Times New Roman" w:hAnsi="Times New Roman" w:cs="Times New Roman"/>
                <w:color w:val="auto"/>
                <w:szCs w:val="24"/>
                <w:highlight w:val="none"/>
              </w:rPr>
              <w:t>t，</w:t>
            </w:r>
            <w:r>
              <w:rPr>
                <w:rFonts w:hint="default" w:ascii="Times New Roman" w:hAnsi="Times New Roman" w:cs="Times New Roman"/>
                <w:color w:val="auto"/>
                <w:highlight w:val="none"/>
              </w:rPr>
              <w:t>根据《一般固体废物分类与代码》（GB/T39198-2020），废收尘灰及废布袋属于</w:t>
            </w:r>
            <w:r>
              <w:rPr>
                <w:rFonts w:hint="eastAsia" w:cs="Times New Roman"/>
                <w:color w:val="auto"/>
                <w:szCs w:val="24"/>
                <w:highlight w:val="none"/>
                <w:lang w:val="en-US" w:eastAsia="zh-CN"/>
              </w:rPr>
              <w:t>33</w:t>
            </w:r>
            <w:r>
              <w:rPr>
                <w:rFonts w:hint="default" w:ascii="Times New Roman" w:hAnsi="Times New Roman" w:cs="Times New Roman"/>
                <w:color w:val="auto"/>
                <w:szCs w:val="24"/>
                <w:highlight w:val="none"/>
              </w:rPr>
              <w:t>1-999-66类废物，集中收集后由</w:t>
            </w:r>
            <w:r>
              <w:rPr>
                <w:rFonts w:hint="eastAsia" w:cs="Times New Roman"/>
                <w:color w:val="auto"/>
                <w:szCs w:val="24"/>
                <w:highlight w:val="none"/>
                <w:lang w:val="en-US" w:eastAsia="zh-CN"/>
              </w:rPr>
              <w:t>滨海新区城市管理部门清运</w:t>
            </w:r>
            <w:r>
              <w:rPr>
                <w:rFonts w:hint="default" w:ascii="Times New Roman" w:hAnsi="Times New Roman" w:cs="Times New Roman"/>
                <w:color w:val="auto"/>
                <w:szCs w:val="24"/>
                <w:highlight w:val="none"/>
              </w:rPr>
              <w:t>。</w:t>
            </w:r>
          </w:p>
          <w:p>
            <w:pPr>
              <w:autoSpaceDE w:val="0"/>
              <w:autoSpaceDN w:val="0"/>
              <w:adjustRightInd w:val="0"/>
              <w:spacing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7</w:t>
            </w:r>
            <w:r>
              <w:rPr>
                <w:rFonts w:hint="default" w:ascii="Times New Roman" w:hAnsi="Times New Roman" w:cs="Times New Roman"/>
                <w:color w:val="auto"/>
                <w:szCs w:val="24"/>
                <w:highlight w:val="none"/>
              </w:rPr>
              <w:t>）</w:t>
            </w:r>
            <w:r>
              <w:rPr>
                <w:rFonts w:hint="default" w:ascii="Times New Roman" w:hAnsi="Times New Roman" w:cs="Times New Roman"/>
                <w:color w:val="auto"/>
                <w:sz w:val="24"/>
                <w:szCs w:val="24"/>
                <w:highlight w:val="none"/>
              </w:rPr>
              <w:t>废催化剂（主要成分陶瓷、铂、钯）</w:t>
            </w:r>
            <w:r>
              <w:rPr>
                <w:rFonts w:hint="default" w:ascii="Times New Roman" w:hAnsi="Times New Roman" w:cs="Times New Roman"/>
                <w:color w:val="auto"/>
                <w:szCs w:val="24"/>
                <w:highlight w:val="none"/>
              </w:rPr>
              <w:t>：本项目废气处理过程产生废催化剂，年产生</w:t>
            </w:r>
            <w:r>
              <w:rPr>
                <w:rFonts w:hint="default" w:ascii="Times New Roman" w:hAnsi="Times New Roman" w:cs="Times New Roman"/>
                <w:color w:val="auto"/>
                <w:szCs w:val="24"/>
                <w:highlight w:val="none"/>
              </w:rPr>
              <w:t>量约0.02t，</w:t>
            </w:r>
            <w:r>
              <w:rPr>
                <w:rFonts w:hint="default" w:ascii="Times New Roman" w:hAnsi="Times New Roman" w:cs="Times New Roman"/>
                <w:color w:val="auto"/>
                <w:highlight w:val="none"/>
              </w:rPr>
              <w:t>根据《一般固体废物分类与代码》（GB/T39198-2020），废催化剂属于</w:t>
            </w:r>
            <w:r>
              <w:rPr>
                <w:rFonts w:hint="eastAsia" w:cs="Times New Roman"/>
                <w:color w:val="auto"/>
                <w:szCs w:val="24"/>
                <w:highlight w:val="none"/>
                <w:lang w:val="en-US" w:eastAsia="zh-CN"/>
              </w:rPr>
              <w:t>33</w:t>
            </w:r>
            <w:r>
              <w:rPr>
                <w:rFonts w:hint="default" w:ascii="Times New Roman" w:hAnsi="Times New Roman" w:cs="Times New Roman"/>
                <w:color w:val="auto"/>
                <w:szCs w:val="24"/>
                <w:highlight w:val="none"/>
              </w:rPr>
              <w:t>1-999-99类废物，收集后由厂家回收。</w:t>
            </w:r>
          </w:p>
          <w:p>
            <w:pPr>
              <w:autoSpaceDE w:val="0"/>
              <w:autoSpaceDN w:val="0"/>
              <w:adjustRightInd w:val="0"/>
              <w:spacing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w:t>
            </w:r>
            <w:r>
              <w:rPr>
                <w:rFonts w:hint="eastAsia" w:cs="Times New Roman"/>
                <w:color w:val="auto"/>
                <w:szCs w:val="24"/>
                <w:highlight w:val="none"/>
                <w:lang w:val="en-US" w:eastAsia="zh-CN"/>
              </w:rPr>
              <w:t>8</w:t>
            </w:r>
            <w:r>
              <w:rPr>
                <w:rFonts w:hint="default" w:ascii="Times New Roman" w:hAnsi="Times New Roman" w:cs="Times New Roman"/>
                <w:color w:val="auto"/>
                <w:szCs w:val="24"/>
                <w:highlight w:val="none"/>
              </w:rPr>
              <w:t>）</w:t>
            </w:r>
            <w:r>
              <w:rPr>
                <w:rFonts w:hint="default" w:ascii="Times New Roman" w:hAnsi="Times New Roman" w:cs="Times New Roman"/>
                <w:color w:val="auto"/>
                <w:sz w:val="24"/>
                <w:szCs w:val="24"/>
                <w:highlight w:val="none"/>
              </w:rPr>
              <w:t>废</w:t>
            </w:r>
            <w:r>
              <w:rPr>
                <w:rFonts w:hint="eastAsia" w:cs="Times New Roman"/>
                <w:color w:val="auto"/>
                <w:sz w:val="24"/>
                <w:szCs w:val="24"/>
                <w:highlight w:val="none"/>
                <w:lang w:val="en-US" w:eastAsia="zh-CN"/>
              </w:rPr>
              <w:t>气瓶</w:t>
            </w:r>
            <w:r>
              <w:rPr>
                <w:rFonts w:hint="default" w:ascii="Times New Roman" w:hAnsi="Times New Roman" w:cs="Times New Roman"/>
                <w:color w:val="auto"/>
                <w:szCs w:val="24"/>
                <w:highlight w:val="none"/>
              </w:rPr>
              <w:t>：</w:t>
            </w:r>
            <w:r>
              <w:rPr>
                <w:rFonts w:hint="default" w:ascii="Times New Roman" w:hAnsi="Times New Roman" w:cs="Times New Roman"/>
                <w:color w:val="auto"/>
                <w:highlight w:val="none"/>
              </w:rPr>
              <w:t>本项目</w:t>
            </w:r>
            <w:r>
              <w:rPr>
                <w:rFonts w:hint="eastAsia" w:cs="Times New Roman"/>
                <w:color w:val="auto"/>
                <w:highlight w:val="none"/>
                <w:lang w:val="en-US" w:eastAsia="zh-CN"/>
              </w:rPr>
              <w:t>焊接工序</w:t>
            </w:r>
            <w:r>
              <w:rPr>
                <w:rFonts w:hint="default" w:ascii="Times New Roman" w:hAnsi="Times New Roman" w:cs="Times New Roman"/>
                <w:color w:val="auto"/>
                <w:highlight w:val="none"/>
              </w:rPr>
              <w:t>会产生</w:t>
            </w:r>
            <w:r>
              <w:rPr>
                <w:rFonts w:hint="default" w:ascii="Times New Roman" w:hAnsi="Times New Roman" w:cs="Times New Roman"/>
                <w:color w:val="auto"/>
                <w:sz w:val="24"/>
                <w:szCs w:val="24"/>
                <w:highlight w:val="none"/>
              </w:rPr>
              <w:t>废</w:t>
            </w:r>
            <w:r>
              <w:rPr>
                <w:rFonts w:hint="eastAsia" w:cs="Times New Roman"/>
                <w:color w:val="auto"/>
                <w:sz w:val="24"/>
                <w:szCs w:val="24"/>
                <w:highlight w:val="none"/>
                <w:lang w:val="en-US" w:eastAsia="zh-CN"/>
              </w:rPr>
              <w:t>气瓶</w:t>
            </w:r>
            <w:r>
              <w:rPr>
                <w:rFonts w:hint="default" w:ascii="Times New Roman" w:hAnsi="Times New Roman" w:cs="Times New Roman"/>
                <w:color w:val="auto"/>
                <w:highlight w:val="none"/>
              </w:rPr>
              <w:t>，产生量约为</w:t>
            </w:r>
            <w:r>
              <w:rPr>
                <w:rFonts w:hint="eastAsia" w:cs="Times New Roman"/>
                <w:color w:val="auto"/>
                <w:highlight w:val="none"/>
                <w:lang w:val="en-US" w:eastAsia="zh-CN"/>
              </w:rPr>
              <w:t>30</w:t>
            </w:r>
            <w:r>
              <w:rPr>
                <w:rFonts w:hint="default" w:ascii="Times New Roman" w:hAnsi="Times New Roman" w:cs="Times New Roman"/>
                <w:color w:val="auto"/>
                <w:highlight w:val="none"/>
              </w:rPr>
              <w:t>t/a，根据《一般固体废物分类与代码》（GB/T39198-2020），</w:t>
            </w:r>
            <w:r>
              <w:rPr>
                <w:rFonts w:hint="default" w:ascii="Times New Roman" w:hAnsi="Times New Roman" w:cs="Times New Roman"/>
                <w:color w:val="auto"/>
                <w:sz w:val="24"/>
                <w:szCs w:val="24"/>
                <w:highlight w:val="none"/>
              </w:rPr>
              <w:t>废</w:t>
            </w:r>
            <w:r>
              <w:rPr>
                <w:rFonts w:hint="eastAsia" w:cs="Times New Roman"/>
                <w:color w:val="auto"/>
                <w:sz w:val="24"/>
                <w:szCs w:val="24"/>
                <w:highlight w:val="none"/>
                <w:lang w:val="en-US" w:eastAsia="zh-CN"/>
              </w:rPr>
              <w:t>气瓶</w:t>
            </w:r>
            <w:r>
              <w:rPr>
                <w:rFonts w:hint="default" w:ascii="Times New Roman" w:hAnsi="Times New Roman" w:cs="Times New Roman"/>
                <w:color w:val="auto"/>
                <w:highlight w:val="none"/>
              </w:rPr>
              <w:t>属于</w:t>
            </w:r>
            <w:r>
              <w:rPr>
                <w:rFonts w:hint="eastAsia" w:cs="Times New Roman"/>
                <w:color w:val="auto"/>
                <w:highlight w:val="none"/>
                <w:lang w:val="en-US" w:eastAsia="zh-CN"/>
              </w:rPr>
              <w:t>33</w:t>
            </w:r>
            <w:r>
              <w:rPr>
                <w:rFonts w:hint="default" w:ascii="Times New Roman" w:hAnsi="Times New Roman" w:cs="Times New Roman"/>
                <w:color w:val="auto"/>
                <w:highlight w:val="none"/>
              </w:rPr>
              <w:t>1-999-99类废物，集中收集</w:t>
            </w:r>
            <w:r>
              <w:rPr>
                <w:rFonts w:hint="eastAsia" w:cs="Times New Roman"/>
                <w:color w:val="auto"/>
                <w:highlight w:val="none"/>
                <w:lang w:val="en-US" w:eastAsia="zh-CN"/>
              </w:rPr>
              <w:t>后由厂家回收</w:t>
            </w:r>
            <w:r>
              <w:rPr>
                <w:rFonts w:hint="default" w:ascii="Times New Roman" w:hAnsi="Times New Roman" w:cs="Times New Roman"/>
                <w:color w:val="auto"/>
                <w:highlight w:val="none"/>
              </w:rPr>
              <w:t>。</w:t>
            </w:r>
          </w:p>
          <w:p>
            <w:pPr>
              <w:autoSpaceDE w:val="0"/>
              <w:autoSpaceDN w:val="0"/>
              <w:adjustRightInd w:val="0"/>
              <w:spacing w:line="360" w:lineRule="auto"/>
              <w:ind w:firstLine="482" w:firstLineChars="20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1.2生活垃圾</w:t>
            </w:r>
          </w:p>
          <w:p>
            <w:pPr>
              <w:autoSpaceDE w:val="0"/>
              <w:autoSpaceDN w:val="0"/>
              <w:adjustRightIn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本项目定员</w:t>
            </w:r>
            <w:r>
              <w:rPr>
                <w:rFonts w:hint="eastAsia" w:cs="Times New Roman"/>
                <w:color w:val="auto"/>
                <w:highlight w:val="none"/>
                <w:lang w:val="en-US" w:eastAsia="zh-CN"/>
              </w:rPr>
              <w:t>60</w:t>
            </w:r>
            <w:r>
              <w:rPr>
                <w:rFonts w:hint="default" w:ascii="Times New Roman" w:hAnsi="Times New Roman" w:cs="Times New Roman"/>
                <w:color w:val="auto"/>
                <w:highlight w:val="none"/>
              </w:rPr>
              <w:t>人，按0.5kg/（人·d）计，年工作日为</w:t>
            </w:r>
            <w:r>
              <w:rPr>
                <w:rFonts w:hint="eastAsia" w:cs="Times New Roman"/>
                <w:color w:val="auto"/>
                <w:highlight w:val="none"/>
                <w:lang w:val="en-US" w:eastAsia="zh-CN"/>
              </w:rPr>
              <w:t>300</w:t>
            </w:r>
            <w:r>
              <w:rPr>
                <w:rFonts w:hint="default" w:ascii="Times New Roman" w:hAnsi="Times New Roman" w:cs="Times New Roman"/>
                <w:color w:val="auto"/>
                <w:highlight w:val="none"/>
              </w:rPr>
              <w:t>d，产生量为</w:t>
            </w:r>
            <w:r>
              <w:rPr>
                <w:rFonts w:hint="eastAsia" w:cs="Times New Roman"/>
                <w:color w:val="auto"/>
                <w:highlight w:val="none"/>
                <w:lang w:val="en-US" w:eastAsia="zh-CN"/>
              </w:rPr>
              <w:t>9</w:t>
            </w:r>
            <w:r>
              <w:rPr>
                <w:rFonts w:hint="default" w:ascii="Times New Roman" w:hAnsi="Times New Roman" w:cs="Times New Roman"/>
                <w:color w:val="auto"/>
                <w:highlight w:val="none"/>
              </w:rPr>
              <w:t>t/a，由</w:t>
            </w:r>
            <w:r>
              <w:rPr>
                <w:rFonts w:hint="eastAsia" w:cs="Times New Roman"/>
                <w:color w:val="auto"/>
                <w:highlight w:val="none"/>
                <w:lang w:eastAsia="zh-CN"/>
              </w:rPr>
              <w:t>滨海新区城市管理部门</w:t>
            </w:r>
            <w:r>
              <w:rPr>
                <w:rFonts w:hint="default" w:ascii="Times New Roman" w:hAnsi="Times New Roman" w:cs="Times New Roman"/>
                <w:color w:val="auto"/>
                <w:highlight w:val="none"/>
              </w:rPr>
              <w:t>定期清运。</w:t>
            </w:r>
          </w:p>
          <w:p>
            <w:pPr>
              <w:autoSpaceDE w:val="0"/>
              <w:autoSpaceDN w:val="0"/>
              <w:adjustRightInd w:val="0"/>
              <w:spacing w:line="360" w:lineRule="auto"/>
              <w:ind w:firstLine="482" w:firstLineChars="200"/>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1.3危险废物</w:t>
            </w:r>
          </w:p>
          <w:p>
            <w:pPr>
              <w:autoSpaceDE w:val="0"/>
              <w:autoSpaceDN w:val="0"/>
              <w:adjustRightInd w:val="0"/>
              <w:spacing w:line="360" w:lineRule="auto"/>
              <w:ind w:firstLine="480" w:firstLineChars="20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本项目危险废物主要为废漆料桶</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废油</w:t>
            </w:r>
            <w:r>
              <w:rPr>
                <w:rFonts w:hint="eastAsia" w:ascii="Times New Roman" w:hAnsi="Times New Roman" w:cs="Times New Roman"/>
                <w:color w:val="auto"/>
                <w:szCs w:val="24"/>
                <w:highlight w:val="none"/>
                <w:lang w:eastAsia="zh-CN"/>
              </w:rPr>
              <w:t>、</w:t>
            </w:r>
            <w:r>
              <w:rPr>
                <w:rFonts w:hint="default" w:ascii="Times New Roman" w:hAnsi="Times New Roman" w:cs="Times New Roman"/>
                <w:color w:val="auto"/>
                <w:szCs w:val="24"/>
                <w:highlight w:val="none"/>
              </w:rPr>
              <w:t>废油桶</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废切削液</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废过滤棉</w:t>
            </w:r>
            <w:r>
              <w:rPr>
                <w:rFonts w:hint="eastAsia" w:cs="Times New Roman"/>
                <w:color w:val="auto"/>
                <w:szCs w:val="24"/>
                <w:highlight w:val="none"/>
                <w:lang w:eastAsia="zh-CN"/>
              </w:rPr>
              <w:t>、</w:t>
            </w:r>
            <w:r>
              <w:rPr>
                <w:rFonts w:hint="eastAsia" w:cs="Times New Roman"/>
                <w:color w:val="auto"/>
                <w:szCs w:val="24"/>
                <w:highlight w:val="none"/>
                <w:lang w:val="en-US" w:eastAsia="zh-CN"/>
              </w:rPr>
              <w:t>废</w:t>
            </w:r>
            <w:r>
              <w:rPr>
                <w:rFonts w:hint="default" w:ascii="Times New Roman" w:hAnsi="Times New Roman" w:cs="Times New Roman"/>
                <w:color w:val="auto"/>
                <w:szCs w:val="24"/>
                <w:highlight w:val="none"/>
              </w:rPr>
              <w:t>沾染布及手套</w:t>
            </w:r>
            <w:r>
              <w:rPr>
                <w:rFonts w:hint="eastAsia" w:cs="Times New Roman"/>
                <w:color w:val="auto"/>
                <w:szCs w:val="24"/>
                <w:highlight w:val="none"/>
                <w:lang w:eastAsia="zh-CN"/>
              </w:rPr>
              <w:t>、</w:t>
            </w:r>
            <w:r>
              <w:rPr>
                <w:rFonts w:hint="eastAsia" w:cs="Times New Roman"/>
                <w:color w:val="auto"/>
                <w:szCs w:val="24"/>
                <w:highlight w:val="none"/>
                <w:lang w:val="en-US" w:eastAsia="zh-CN"/>
              </w:rPr>
              <w:t>废地毡、</w:t>
            </w:r>
            <w:r>
              <w:rPr>
                <w:rFonts w:hint="default" w:ascii="Times New Roman" w:hAnsi="Times New Roman" w:cs="Times New Roman"/>
                <w:color w:val="auto"/>
                <w:szCs w:val="24"/>
                <w:highlight w:val="none"/>
              </w:rPr>
              <w:t>废活性炭</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废漆渣</w:t>
            </w:r>
            <w:r>
              <w:rPr>
                <w:rFonts w:hint="eastAsia" w:cs="Times New Roman"/>
                <w:color w:val="auto"/>
                <w:szCs w:val="24"/>
                <w:highlight w:val="none"/>
                <w:lang w:eastAsia="zh-CN"/>
              </w:rPr>
              <w:t>、</w:t>
            </w:r>
            <w:r>
              <w:rPr>
                <w:rFonts w:hint="eastAsia" w:cs="Times New Roman"/>
                <w:color w:val="auto"/>
                <w:szCs w:val="24"/>
                <w:highlight w:val="none"/>
                <w:lang w:val="en-US" w:eastAsia="zh-CN"/>
              </w:rPr>
              <w:t>水帘废水</w:t>
            </w:r>
            <w:r>
              <w:rPr>
                <w:rFonts w:hint="default" w:ascii="Times New Roman" w:hAnsi="Times New Roman" w:cs="Times New Roman"/>
                <w:color w:val="auto"/>
                <w:szCs w:val="24"/>
                <w:highlight w:val="none"/>
              </w:rPr>
              <w:t>。</w:t>
            </w:r>
          </w:p>
          <w:p>
            <w:pPr>
              <w:autoSpaceDE w:val="0"/>
              <w:autoSpaceDN w:val="0"/>
              <w:adjustRightIn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）废漆料桶</w:t>
            </w:r>
          </w:p>
          <w:p>
            <w:pPr>
              <w:tabs>
                <w:tab w:val="left" w:pos="2520"/>
                <w:tab w:val="left" w:pos="2880"/>
              </w:tabs>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本项目生产中产生一定的废漆料桶，包括油漆、稀释剂包装桶，根据《国家危险废物名录》（2021 年版），废漆料桶属于危险废物，其中废油漆、稀释剂包装桶产生量约0.</w:t>
            </w:r>
            <w:r>
              <w:rPr>
                <w:rFonts w:hint="eastAsia" w:ascii="Times New Roman" w:hAnsi="Times New Roman" w:cs="Times New Roman"/>
                <w:bCs/>
                <w:color w:val="auto"/>
                <w:highlight w:val="none"/>
                <w:lang w:val="en-US" w:eastAsia="zh-CN"/>
              </w:rPr>
              <w:t>2</w:t>
            </w:r>
            <w:r>
              <w:rPr>
                <w:rFonts w:hint="default" w:ascii="Times New Roman" w:hAnsi="Times New Roman" w:cs="Times New Roman"/>
                <w:bCs/>
                <w:color w:val="auto"/>
                <w:highlight w:val="none"/>
              </w:rPr>
              <w:t>t/a，废物类别为 HW49，废物代码为 900-041-49。</w:t>
            </w:r>
          </w:p>
          <w:p>
            <w:pPr>
              <w:autoSpaceDE w:val="0"/>
              <w:autoSpaceDN w:val="0"/>
              <w:adjustRightIn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szCs w:val="24"/>
                <w:highlight w:val="none"/>
              </w:rPr>
              <w:t>废油及废油桶</w:t>
            </w:r>
          </w:p>
          <w:p>
            <w:pPr>
              <w:tabs>
                <w:tab w:val="left" w:pos="2520"/>
                <w:tab w:val="left" w:pos="2880"/>
              </w:tabs>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本项目机械设备使用过程中维护保养会产生少量废油，产生量约 0.1t/a，根据《国家危险废物名录》，废油属于危险废物，废物类别为 HW08，废物代码为 900-214-08。</w:t>
            </w:r>
          </w:p>
          <w:p>
            <w:pPr>
              <w:numPr>
                <w:ilvl w:val="0"/>
                <w:numId w:val="0"/>
              </w:numPr>
              <w:tabs>
                <w:tab w:val="left" w:pos="2520"/>
                <w:tab w:val="left" w:pos="2880"/>
              </w:tabs>
              <w:spacing w:line="360" w:lineRule="auto"/>
              <w:ind w:leftChars="200"/>
              <w:rPr>
                <w:rFonts w:hint="eastAsia" w:cs="Times New Roman"/>
                <w:bCs/>
                <w:color w:val="auto"/>
                <w:highlight w:val="none"/>
                <w:lang w:val="en-US" w:eastAsia="zh-CN"/>
              </w:rPr>
            </w:pPr>
            <w:r>
              <w:rPr>
                <w:rFonts w:hint="eastAsia" w:cs="Times New Roman"/>
                <w:bCs/>
                <w:color w:val="auto"/>
                <w:highlight w:val="none"/>
                <w:lang w:val="en-US" w:eastAsia="zh-CN"/>
              </w:rPr>
              <w:t>（3）废油桶</w:t>
            </w:r>
          </w:p>
          <w:p>
            <w:pPr>
              <w:numPr>
                <w:ilvl w:val="0"/>
                <w:numId w:val="0"/>
              </w:numPr>
              <w:tabs>
                <w:tab w:val="left" w:pos="2520"/>
                <w:tab w:val="left" w:pos="2880"/>
              </w:tabs>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包装油类物质会产生废油桶，产生量约0.</w:t>
            </w:r>
            <w:r>
              <w:rPr>
                <w:rFonts w:hint="eastAsia" w:cs="Times New Roman"/>
                <w:bCs/>
                <w:color w:val="auto"/>
                <w:highlight w:val="none"/>
                <w:lang w:val="en-US" w:eastAsia="zh-CN"/>
              </w:rPr>
              <w:t>1</w:t>
            </w:r>
            <w:r>
              <w:rPr>
                <w:rFonts w:hint="default" w:ascii="Times New Roman" w:hAnsi="Times New Roman" w:cs="Times New Roman"/>
                <w:bCs/>
                <w:color w:val="auto"/>
                <w:highlight w:val="none"/>
              </w:rPr>
              <w:t>t/a，根据《国家危险废物名录》，废油桶属于危险废物，废物类别为 HW08，废物代码为 900-2</w:t>
            </w:r>
            <w:r>
              <w:rPr>
                <w:rFonts w:hint="eastAsia" w:cs="Times New Roman"/>
                <w:bCs/>
                <w:color w:val="auto"/>
                <w:highlight w:val="none"/>
                <w:lang w:val="en-US" w:eastAsia="zh-CN"/>
              </w:rPr>
              <w:t>49</w:t>
            </w:r>
            <w:r>
              <w:rPr>
                <w:rFonts w:hint="default" w:ascii="Times New Roman" w:hAnsi="Times New Roman" w:cs="Times New Roman"/>
                <w:bCs/>
                <w:color w:val="auto"/>
                <w:highlight w:val="none"/>
              </w:rPr>
              <w:t>-08。</w:t>
            </w:r>
          </w:p>
          <w:p>
            <w:pPr>
              <w:keepNext w:val="0"/>
              <w:keepLines w:val="0"/>
              <w:suppressLineNumbers w:val="0"/>
              <w:tabs>
                <w:tab w:val="left" w:pos="2520"/>
                <w:tab w:val="left" w:pos="2880"/>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lang w:bidi="ar"/>
              </w:rPr>
              <w:t>（</w:t>
            </w:r>
            <w:r>
              <w:rPr>
                <w:rFonts w:hint="eastAsia" w:cs="Times New Roman"/>
                <w:bCs/>
                <w:color w:val="auto"/>
                <w:sz w:val="24"/>
                <w:szCs w:val="24"/>
                <w:highlight w:val="none"/>
                <w:lang w:val="en-US" w:eastAsia="zh-CN" w:bidi="ar"/>
              </w:rPr>
              <w:t>4</w:t>
            </w:r>
            <w:r>
              <w:rPr>
                <w:rFonts w:hint="default" w:ascii="Times New Roman" w:hAnsi="Times New Roman" w:cs="Times New Roman"/>
                <w:bCs/>
                <w:color w:val="auto"/>
                <w:sz w:val="24"/>
                <w:szCs w:val="24"/>
                <w:highlight w:val="none"/>
                <w:lang w:bidi="ar"/>
              </w:rPr>
              <w:t>）废切削液</w:t>
            </w:r>
          </w:p>
          <w:p>
            <w:pPr>
              <w:keepNext w:val="0"/>
              <w:keepLines w:val="0"/>
              <w:suppressLineNumbers w:val="0"/>
              <w:tabs>
                <w:tab w:val="left" w:pos="2520"/>
                <w:tab w:val="left" w:pos="2880"/>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highlight w:val="none"/>
                <w:lang w:bidi="ar"/>
              </w:rPr>
            </w:pPr>
            <w:r>
              <w:rPr>
                <w:rFonts w:hint="default" w:ascii="Times New Roman" w:hAnsi="Times New Roman" w:cs="Times New Roman"/>
                <w:bCs/>
                <w:color w:val="auto"/>
                <w:sz w:val="24"/>
                <w:szCs w:val="24"/>
                <w:highlight w:val="none"/>
                <w:lang w:bidi="ar"/>
              </w:rPr>
              <w:t>本项目</w:t>
            </w:r>
            <w:r>
              <w:rPr>
                <w:rFonts w:hint="eastAsia" w:cs="Times New Roman"/>
                <w:bCs/>
                <w:color w:val="auto"/>
                <w:sz w:val="24"/>
                <w:szCs w:val="24"/>
                <w:highlight w:val="none"/>
                <w:lang w:val="en-US" w:eastAsia="zh-CN" w:bidi="ar"/>
              </w:rPr>
              <w:t>机加工</w:t>
            </w:r>
            <w:r>
              <w:rPr>
                <w:rFonts w:hint="default" w:ascii="Times New Roman" w:hAnsi="Times New Roman" w:cs="Times New Roman"/>
                <w:bCs/>
                <w:color w:val="auto"/>
                <w:sz w:val="24"/>
                <w:szCs w:val="24"/>
                <w:highlight w:val="none"/>
                <w:lang w:bidi="ar"/>
              </w:rPr>
              <w:t>和钻孔过程中维护保养会产生废切削液，产生量约</w:t>
            </w:r>
            <w:r>
              <w:rPr>
                <w:rFonts w:hint="eastAsia" w:cs="Times New Roman"/>
                <w:bCs/>
                <w:color w:val="auto"/>
                <w:sz w:val="24"/>
                <w:szCs w:val="24"/>
                <w:highlight w:val="none"/>
                <w:lang w:val="en-US" w:eastAsia="zh-CN" w:bidi="ar"/>
              </w:rPr>
              <w:t>3.15</w:t>
            </w:r>
            <w:r>
              <w:rPr>
                <w:rFonts w:hint="default" w:ascii="Times New Roman" w:hAnsi="Times New Roman" w:cs="Times New Roman"/>
                <w:bCs/>
                <w:color w:val="auto"/>
                <w:sz w:val="24"/>
                <w:szCs w:val="24"/>
                <w:highlight w:val="none"/>
                <w:lang w:bidi="ar"/>
              </w:rPr>
              <w:t>t/a，根据《国家危险废物名录》，废包装桶属于危险废物，废物类别为HW09，废物代码为 900-006-09。</w:t>
            </w:r>
          </w:p>
          <w:p>
            <w:pPr>
              <w:autoSpaceDE w:val="0"/>
              <w:autoSpaceDN w:val="0"/>
              <w:adjustRightInd w:val="0"/>
              <w:spacing w:line="360" w:lineRule="auto"/>
              <w:ind w:left="480" w:leftChars="200"/>
              <w:rPr>
                <w:rFonts w:hint="eastAsia"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eastAsia" w:cs="Times New Roman"/>
                <w:color w:val="auto"/>
                <w:highlight w:val="none"/>
                <w:lang w:val="en-US" w:eastAsia="zh-CN"/>
              </w:rPr>
              <w:t>5</w:t>
            </w:r>
            <w:r>
              <w:rPr>
                <w:rFonts w:hint="default" w:ascii="Times New Roman" w:hAnsi="Times New Roman" w:cs="Times New Roman"/>
                <w:color w:val="auto"/>
                <w:highlight w:val="none"/>
              </w:rPr>
              <w:t>）废</w:t>
            </w:r>
            <w:r>
              <w:rPr>
                <w:rFonts w:hint="eastAsia" w:ascii="Times New Roman" w:hAnsi="Times New Roman" w:cs="Times New Roman"/>
                <w:color w:val="auto"/>
                <w:highlight w:val="none"/>
                <w:lang w:val="en-US" w:eastAsia="zh-CN"/>
              </w:rPr>
              <w:t>过滤棉</w:t>
            </w:r>
          </w:p>
          <w:p>
            <w:pPr>
              <w:tabs>
                <w:tab w:val="left" w:pos="2520"/>
                <w:tab w:val="left" w:pos="2880"/>
              </w:tabs>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w:t>
            </w:r>
            <w:r>
              <w:rPr>
                <w:rFonts w:hint="eastAsia" w:ascii="Times New Roman" w:hAnsi="Times New Roman" w:cs="Times New Roman"/>
                <w:bCs/>
                <w:color w:val="auto"/>
                <w:highlight w:val="none"/>
                <w:lang w:val="en-US" w:eastAsia="zh-CN"/>
              </w:rPr>
              <w:t>废气处理</w:t>
            </w:r>
            <w:r>
              <w:rPr>
                <w:rFonts w:hint="default" w:ascii="Times New Roman" w:hAnsi="Times New Roman" w:cs="Times New Roman"/>
                <w:bCs/>
                <w:color w:val="auto"/>
                <w:highlight w:val="none"/>
              </w:rPr>
              <w:t>过程产生</w:t>
            </w:r>
            <w:r>
              <w:rPr>
                <w:rFonts w:hint="eastAsia" w:ascii="Times New Roman" w:hAnsi="Times New Roman" w:cs="Times New Roman"/>
                <w:bCs/>
                <w:color w:val="auto"/>
                <w:highlight w:val="none"/>
                <w:lang w:val="en-US" w:eastAsia="zh-CN"/>
              </w:rPr>
              <w:t>废过滤棉</w:t>
            </w:r>
            <w:r>
              <w:rPr>
                <w:rFonts w:hint="default" w:ascii="Times New Roman" w:hAnsi="Times New Roman" w:cs="Times New Roman"/>
                <w:bCs/>
                <w:color w:val="auto"/>
                <w:highlight w:val="none"/>
              </w:rPr>
              <w:t>，</w:t>
            </w:r>
            <w:r>
              <w:rPr>
                <w:rFonts w:hint="eastAsia" w:cs="Times New Roman"/>
                <w:bCs/>
                <w:color w:val="auto"/>
                <w:highlight w:val="none"/>
                <w:lang w:val="en-US" w:eastAsia="zh-CN"/>
              </w:rPr>
              <w:t>过滤棉</w:t>
            </w:r>
            <w:r>
              <w:rPr>
                <w:rFonts w:hint="default" w:ascii="Times New Roman" w:hAnsi="Times New Roman" w:cs="Times New Roman"/>
                <w:bCs/>
                <w:color w:val="auto"/>
                <w:highlight w:val="none"/>
              </w:rPr>
              <w:t>需要进行定期更换，</w:t>
            </w:r>
            <w:r>
              <w:rPr>
                <w:rFonts w:hint="default" w:ascii="Times New Roman" w:hAnsi="Times New Roman" w:cs="Times New Roman"/>
                <w:color w:val="auto"/>
                <w:highlight w:val="none"/>
              </w:rPr>
              <w:t>废</w:t>
            </w:r>
            <w:r>
              <w:rPr>
                <w:rFonts w:hint="eastAsia" w:ascii="Times New Roman" w:hAnsi="Times New Roman" w:cs="Times New Roman"/>
                <w:color w:val="auto"/>
                <w:highlight w:val="none"/>
                <w:lang w:val="en-US" w:eastAsia="zh-CN"/>
              </w:rPr>
              <w:t>过滤棉</w:t>
            </w:r>
            <w:r>
              <w:rPr>
                <w:rFonts w:hint="default" w:ascii="Times New Roman" w:hAnsi="Times New Roman" w:cs="Times New Roman"/>
                <w:bCs/>
                <w:color w:val="auto"/>
                <w:highlight w:val="none"/>
              </w:rPr>
              <w:t>产生量约</w:t>
            </w:r>
            <w:r>
              <w:rPr>
                <w:rFonts w:hint="eastAsia" w:cs="Times New Roman"/>
                <w:bCs/>
                <w:color w:val="auto"/>
                <w:highlight w:val="none"/>
                <w:lang w:val="en-US" w:eastAsia="zh-CN"/>
              </w:rPr>
              <w:t>2</w:t>
            </w:r>
            <w:r>
              <w:rPr>
                <w:rFonts w:hint="default" w:ascii="Times New Roman" w:hAnsi="Times New Roman" w:cs="Times New Roman"/>
                <w:bCs/>
                <w:color w:val="auto"/>
                <w:highlight w:val="none"/>
              </w:rPr>
              <w:t>t/a。根据《国家危险废物名录》，沾染废物属于危险废物，废物类别为 HW49，废物代码为 900-041-49。</w:t>
            </w:r>
          </w:p>
          <w:p>
            <w:pPr>
              <w:tabs>
                <w:tab w:val="left" w:pos="2520"/>
                <w:tab w:val="left" w:pos="2880"/>
              </w:tabs>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r>
              <w:rPr>
                <w:rFonts w:hint="eastAsia" w:cs="Times New Roman"/>
                <w:bCs/>
                <w:color w:val="auto"/>
                <w:highlight w:val="none"/>
                <w:lang w:val="en-US" w:eastAsia="zh-CN"/>
              </w:rPr>
              <w:t>6</w:t>
            </w:r>
            <w:r>
              <w:rPr>
                <w:rFonts w:hint="default" w:ascii="Times New Roman" w:hAnsi="Times New Roman" w:cs="Times New Roman"/>
                <w:bCs/>
                <w:color w:val="auto"/>
                <w:highlight w:val="none"/>
              </w:rPr>
              <w:t>）废沾染布及手套</w:t>
            </w:r>
          </w:p>
          <w:p>
            <w:pPr>
              <w:tabs>
                <w:tab w:val="left" w:pos="2520"/>
                <w:tab w:val="left" w:pos="2880"/>
              </w:tabs>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本项目喷漆加工过程产生</w:t>
            </w:r>
            <w:r>
              <w:rPr>
                <w:rFonts w:hint="eastAsia" w:cs="Times New Roman"/>
                <w:bCs/>
                <w:color w:val="auto"/>
                <w:highlight w:val="none"/>
                <w:lang w:val="en-US" w:eastAsia="zh-CN"/>
              </w:rPr>
              <w:t>沾染油漆的布和手套</w:t>
            </w:r>
            <w:r>
              <w:rPr>
                <w:rFonts w:hint="eastAsia" w:cs="Times New Roman"/>
                <w:color w:val="auto"/>
                <w:szCs w:val="24"/>
                <w:highlight w:val="none"/>
                <w:lang w:eastAsia="zh-CN"/>
              </w:rPr>
              <w:t>，</w:t>
            </w:r>
            <w:r>
              <w:rPr>
                <w:rFonts w:hint="eastAsia" w:cs="Times New Roman"/>
                <w:color w:val="auto"/>
                <w:szCs w:val="24"/>
                <w:highlight w:val="none"/>
                <w:lang w:val="en-US" w:eastAsia="zh-CN"/>
              </w:rPr>
              <w:t>在设备维护过程中会产生沾染油的布和手套</w:t>
            </w:r>
            <w:r>
              <w:rPr>
                <w:rFonts w:hint="eastAsia" w:cs="Times New Roman"/>
                <w:bCs/>
                <w:color w:val="auto"/>
                <w:highlight w:val="none"/>
                <w:lang w:eastAsia="zh-CN"/>
              </w:rPr>
              <w:t>，</w:t>
            </w:r>
            <w:r>
              <w:rPr>
                <w:rFonts w:hint="eastAsia" w:cs="Times New Roman"/>
                <w:bCs/>
                <w:color w:val="auto"/>
                <w:highlight w:val="none"/>
                <w:lang w:val="en-US" w:eastAsia="zh-CN"/>
              </w:rPr>
              <w:t>统称为</w:t>
            </w:r>
            <w:r>
              <w:rPr>
                <w:rFonts w:hint="eastAsia" w:cs="Times New Roman"/>
                <w:color w:val="auto"/>
                <w:szCs w:val="24"/>
                <w:highlight w:val="none"/>
                <w:lang w:val="en-US" w:eastAsia="zh-CN"/>
              </w:rPr>
              <w:t>废</w:t>
            </w:r>
            <w:r>
              <w:rPr>
                <w:rFonts w:hint="default" w:ascii="Times New Roman" w:hAnsi="Times New Roman" w:cs="Times New Roman"/>
                <w:color w:val="auto"/>
                <w:szCs w:val="24"/>
                <w:highlight w:val="none"/>
              </w:rPr>
              <w:t>沾染布及手套</w:t>
            </w:r>
            <w:r>
              <w:rPr>
                <w:rFonts w:hint="default" w:ascii="Times New Roman" w:hAnsi="Times New Roman" w:cs="Times New Roman"/>
                <w:bCs/>
                <w:color w:val="auto"/>
                <w:highlight w:val="none"/>
              </w:rPr>
              <w:t>，以</w:t>
            </w:r>
            <w:r>
              <w:rPr>
                <w:rFonts w:hint="eastAsia" w:ascii="Times New Roman" w:hAnsi="Times New Roman" w:cs="Times New Roman"/>
                <w:bCs/>
                <w:color w:val="auto"/>
                <w:highlight w:val="none"/>
                <w:lang w:val="en-US" w:eastAsia="zh-CN"/>
              </w:rPr>
              <w:t>上</w:t>
            </w:r>
            <w:r>
              <w:rPr>
                <w:rFonts w:hint="default" w:ascii="Times New Roman" w:hAnsi="Times New Roman" w:cs="Times New Roman"/>
                <w:bCs/>
                <w:color w:val="auto"/>
                <w:highlight w:val="none"/>
              </w:rPr>
              <w:t>物品需要进行定期更换，废沾染布及手套产生量约0.5t/a。根据《国家危险废物名录》，废沾染布及手套属于危险废物，废物类别为 HW49，废物代码为 900-041-49。</w:t>
            </w:r>
          </w:p>
          <w:p>
            <w:pPr>
              <w:tabs>
                <w:tab w:val="left" w:pos="2520"/>
                <w:tab w:val="left" w:pos="2880"/>
              </w:tabs>
              <w:spacing w:line="360" w:lineRule="auto"/>
              <w:ind w:firstLine="480" w:firstLineChars="200"/>
              <w:rPr>
                <w:rFonts w:hint="default" w:ascii="Times New Roman" w:hAnsi="Times New Roman" w:eastAsia="宋体" w:cs="Times New Roman"/>
                <w:bCs/>
                <w:color w:val="auto"/>
                <w:highlight w:val="none"/>
                <w:lang w:val="en-US" w:eastAsia="zh-CN"/>
              </w:rPr>
            </w:pPr>
            <w:r>
              <w:rPr>
                <w:rFonts w:hint="default" w:ascii="Times New Roman" w:hAnsi="Times New Roman" w:cs="Times New Roman"/>
                <w:bCs/>
                <w:color w:val="auto"/>
                <w:highlight w:val="none"/>
              </w:rPr>
              <w:t>（</w:t>
            </w:r>
            <w:r>
              <w:rPr>
                <w:rFonts w:hint="eastAsia" w:cs="Times New Roman"/>
                <w:bCs/>
                <w:color w:val="auto"/>
                <w:highlight w:val="none"/>
                <w:lang w:val="en-US" w:eastAsia="zh-CN"/>
              </w:rPr>
              <w:t>7</w:t>
            </w:r>
            <w:r>
              <w:rPr>
                <w:rFonts w:hint="default" w:ascii="Times New Roman" w:hAnsi="Times New Roman" w:cs="Times New Roman"/>
                <w:bCs/>
                <w:color w:val="auto"/>
                <w:highlight w:val="none"/>
              </w:rPr>
              <w:t>）</w:t>
            </w:r>
            <w:r>
              <w:rPr>
                <w:rFonts w:hint="eastAsia" w:cs="Times New Roman"/>
                <w:bCs/>
                <w:color w:val="auto"/>
                <w:highlight w:val="none"/>
                <w:lang w:val="en-US" w:eastAsia="zh-CN"/>
              </w:rPr>
              <w:t>废地毡</w:t>
            </w:r>
          </w:p>
          <w:p>
            <w:pPr>
              <w:tabs>
                <w:tab w:val="left" w:pos="2520"/>
                <w:tab w:val="left" w:pos="2880"/>
              </w:tabs>
              <w:spacing w:line="360" w:lineRule="auto"/>
              <w:ind w:firstLine="480" w:firstLineChars="200"/>
              <w:rPr>
                <w:rFonts w:hint="default" w:ascii="Times New Roman" w:hAnsi="Times New Roman" w:cs="Times New Roman"/>
                <w:snapToGrid/>
                <w:color w:val="auto"/>
                <w:spacing w:val="0"/>
                <w:sz w:val="24"/>
                <w:highlight w:val="none"/>
              </w:rPr>
            </w:pPr>
            <w:r>
              <w:rPr>
                <w:rFonts w:hint="default" w:ascii="Times New Roman" w:hAnsi="Times New Roman" w:cs="Times New Roman"/>
                <w:bCs/>
                <w:color w:val="auto"/>
                <w:highlight w:val="none"/>
              </w:rPr>
              <w:t>本项目喷漆加工过程产生</w:t>
            </w:r>
            <w:r>
              <w:rPr>
                <w:rFonts w:hint="eastAsia" w:cs="Times New Roman"/>
                <w:color w:val="auto"/>
                <w:szCs w:val="24"/>
                <w:highlight w:val="none"/>
                <w:lang w:val="en-US" w:eastAsia="zh-CN"/>
              </w:rPr>
              <w:t>废地毡</w:t>
            </w:r>
            <w:r>
              <w:rPr>
                <w:rFonts w:hint="default" w:ascii="Times New Roman" w:hAnsi="Times New Roman" w:cs="Times New Roman"/>
                <w:bCs/>
                <w:color w:val="auto"/>
                <w:highlight w:val="none"/>
              </w:rPr>
              <w:t>，以</w:t>
            </w:r>
            <w:r>
              <w:rPr>
                <w:rFonts w:hint="eastAsia" w:ascii="Times New Roman" w:hAnsi="Times New Roman" w:cs="Times New Roman"/>
                <w:bCs/>
                <w:color w:val="auto"/>
                <w:highlight w:val="none"/>
                <w:lang w:val="en-US" w:eastAsia="zh-CN"/>
              </w:rPr>
              <w:t>上</w:t>
            </w:r>
            <w:r>
              <w:rPr>
                <w:rFonts w:hint="default" w:ascii="Times New Roman" w:hAnsi="Times New Roman" w:cs="Times New Roman"/>
                <w:bCs/>
                <w:color w:val="auto"/>
                <w:highlight w:val="none"/>
              </w:rPr>
              <w:t>物品需要进行定期更换，</w:t>
            </w:r>
            <w:r>
              <w:rPr>
                <w:rFonts w:hint="eastAsia" w:cs="Times New Roman"/>
                <w:bCs/>
                <w:color w:val="auto"/>
                <w:highlight w:val="none"/>
                <w:lang w:val="en-US" w:eastAsia="zh-CN"/>
              </w:rPr>
              <w:t>废地毡</w:t>
            </w:r>
            <w:r>
              <w:rPr>
                <w:rFonts w:hint="default" w:ascii="Times New Roman" w:hAnsi="Times New Roman" w:cs="Times New Roman"/>
                <w:bCs/>
                <w:color w:val="auto"/>
                <w:highlight w:val="none"/>
              </w:rPr>
              <w:t>产生量约</w:t>
            </w:r>
            <w:r>
              <w:rPr>
                <w:rFonts w:hint="eastAsia" w:cs="Times New Roman"/>
                <w:bCs/>
                <w:color w:val="auto"/>
                <w:highlight w:val="none"/>
                <w:lang w:val="en-US" w:eastAsia="zh-CN"/>
              </w:rPr>
              <w:t>2</w:t>
            </w:r>
            <w:r>
              <w:rPr>
                <w:rFonts w:hint="default" w:ascii="Times New Roman" w:hAnsi="Times New Roman" w:cs="Times New Roman"/>
                <w:bCs/>
                <w:color w:val="auto"/>
                <w:highlight w:val="none"/>
              </w:rPr>
              <w:t>t/a。根据《国家危险废物名录》，沾</w:t>
            </w:r>
            <w:r>
              <w:rPr>
                <w:rFonts w:hint="eastAsia" w:cs="Times New Roman"/>
                <w:bCs/>
                <w:color w:val="auto"/>
                <w:highlight w:val="none"/>
                <w:lang w:val="en-US" w:eastAsia="zh-CN"/>
              </w:rPr>
              <w:t>地毡</w:t>
            </w:r>
            <w:r>
              <w:rPr>
                <w:rFonts w:hint="default" w:ascii="Times New Roman" w:hAnsi="Times New Roman" w:cs="Times New Roman"/>
                <w:bCs/>
                <w:color w:val="auto"/>
                <w:highlight w:val="none"/>
              </w:rPr>
              <w:t>属于危险废物，废物类别为 HW49，废物代码为 900-041-49。</w:t>
            </w:r>
          </w:p>
          <w:p>
            <w:pPr>
              <w:pStyle w:val="28"/>
              <w:ind w:left="480" w:firstLine="0"/>
              <w:rPr>
                <w:rFonts w:hint="default" w:ascii="Times New Roman" w:hAnsi="Times New Roman" w:cs="Times New Roman"/>
                <w:color w:val="auto"/>
                <w:highlight w:val="none"/>
              </w:rPr>
            </w:pPr>
            <w:r>
              <w:rPr>
                <w:rFonts w:hint="default" w:ascii="Times New Roman" w:hAnsi="Times New Roman" w:cs="Times New Roman"/>
                <w:snapToGrid/>
                <w:color w:val="auto"/>
                <w:spacing w:val="0"/>
                <w:sz w:val="24"/>
                <w:highlight w:val="none"/>
              </w:rPr>
              <w:t>（</w:t>
            </w:r>
            <w:r>
              <w:rPr>
                <w:rFonts w:hint="eastAsia" w:ascii="Times New Roman" w:hAnsi="Times New Roman" w:cs="Times New Roman"/>
                <w:snapToGrid/>
                <w:color w:val="auto"/>
                <w:spacing w:val="0"/>
                <w:sz w:val="24"/>
                <w:highlight w:val="none"/>
                <w:lang w:val="en-US" w:eastAsia="zh-CN"/>
              </w:rPr>
              <w:t>8</w:t>
            </w:r>
            <w:r>
              <w:rPr>
                <w:rFonts w:hint="default" w:ascii="Times New Roman" w:hAnsi="Times New Roman" w:cs="Times New Roman"/>
                <w:snapToGrid/>
                <w:color w:val="auto"/>
                <w:spacing w:val="0"/>
                <w:sz w:val="24"/>
                <w:szCs w:val="24"/>
                <w:highlight w:val="none"/>
              </w:rPr>
              <w:t>）废活性炭</w:t>
            </w:r>
          </w:p>
          <w:p>
            <w:pPr>
              <w:autoSpaceDE w:val="0"/>
              <w:autoSpaceDN w:val="0"/>
              <w:adjustRightInd w:val="0"/>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color w:val="auto"/>
                <w:highlight w:val="none"/>
              </w:rPr>
              <w:t>本项目催化燃烧设施使用活性炭进行吸附过滤，活性炭需要进行定期更换</w:t>
            </w:r>
            <w:r>
              <w:rPr>
                <w:rFonts w:hint="eastAsia" w:cs="Times New Roman"/>
                <w:color w:val="auto"/>
                <w:highlight w:val="none"/>
                <w:lang w:eastAsia="zh-CN"/>
              </w:rPr>
              <w:t>，</w:t>
            </w:r>
            <w:r>
              <w:rPr>
                <w:rFonts w:hint="default" w:ascii="Times New Roman" w:hAnsi="Times New Roman" w:cs="Times New Roman" w:eastAsiaTheme="minorEastAsia"/>
                <w:color w:val="auto"/>
                <w:highlight w:val="none"/>
              </w:rPr>
              <w:t>根据设计单位提供资料，本项目所采用的</w:t>
            </w:r>
            <w:r>
              <w:rPr>
                <w:rFonts w:hint="eastAsia" w:cs="Times New Roman" w:eastAsiaTheme="minorEastAsia"/>
                <w:color w:val="auto"/>
                <w:highlight w:val="none"/>
                <w:lang w:eastAsia="zh-CN"/>
              </w:rPr>
              <w:t>活性炭吸附、脱附催化燃烧</w:t>
            </w:r>
            <w:r>
              <w:rPr>
                <w:rFonts w:hint="default" w:ascii="Times New Roman" w:hAnsi="Times New Roman" w:cs="Times New Roman"/>
                <w:color w:val="auto"/>
                <w:highlight w:val="none"/>
              </w:rPr>
              <w:t>装置工艺成熟</w:t>
            </w:r>
            <w:r>
              <w:rPr>
                <w:rFonts w:hint="eastAsia" w:cs="Times New Roman"/>
                <w:color w:val="auto"/>
                <w:highlight w:val="none"/>
                <w:lang w:eastAsia="zh-CN"/>
              </w:rPr>
              <w:t>，</w:t>
            </w:r>
            <w:r>
              <w:rPr>
                <w:rFonts w:hint="eastAsia" w:cs="Times New Roman"/>
                <w:color w:val="auto"/>
                <w:highlight w:val="none"/>
                <w:lang w:val="en-US" w:eastAsia="zh-CN"/>
              </w:rPr>
              <w:t>设置形式为“两吸一脱附”</w:t>
            </w:r>
            <w:r>
              <w:rPr>
                <w:rFonts w:hint="default" w:ascii="Times New Roman" w:hAnsi="Times New Roman" w:cs="Times New Roman"/>
                <w:color w:val="auto"/>
                <w:highlight w:val="none"/>
              </w:rPr>
              <w:t>，</w:t>
            </w:r>
            <w:r>
              <w:rPr>
                <w:rFonts w:hint="default" w:ascii="Times New Roman" w:hAnsi="Times New Roman" w:cs="Times New Roman"/>
                <w:bCs/>
                <w:color w:val="auto"/>
                <w:highlight w:val="none"/>
              </w:rPr>
              <w:t>根据设备商提供的运行经验，每个碳箱填充料</w:t>
            </w:r>
            <w:r>
              <w:rPr>
                <w:rFonts w:hint="eastAsia" w:cs="Times New Roman"/>
                <w:bCs/>
                <w:color w:val="auto"/>
                <w:highlight w:val="none"/>
                <w:lang w:val="en-US" w:eastAsia="zh-CN"/>
              </w:rPr>
              <w:t>1</w:t>
            </w:r>
            <w:r>
              <w:rPr>
                <w:rFonts w:hint="default" w:ascii="Times New Roman" w:hAnsi="Times New Roman" w:cs="Times New Roman"/>
                <w:bCs/>
                <w:color w:val="auto"/>
                <w:highlight w:val="none"/>
              </w:rPr>
              <w:t>m³，共</w:t>
            </w:r>
            <w:r>
              <w:rPr>
                <w:rFonts w:hint="eastAsia" w:cs="Times New Roman"/>
                <w:bCs/>
                <w:color w:val="auto"/>
                <w:highlight w:val="none"/>
                <w:lang w:val="en-US" w:eastAsia="zh-CN"/>
              </w:rPr>
              <w:t>3</w:t>
            </w:r>
            <w:r>
              <w:rPr>
                <w:rFonts w:hint="default" w:ascii="Times New Roman" w:hAnsi="Times New Roman" w:cs="Times New Roman"/>
                <w:bCs/>
                <w:color w:val="auto"/>
                <w:highlight w:val="none"/>
              </w:rPr>
              <w:t>个碳箱总计</w:t>
            </w:r>
            <w:r>
              <w:rPr>
                <w:rFonts w:hint="eastAsia" w:cs="Times New Roman"/>
                <w:bCs/>
                <w:color w:val="auto"/>
                <w:highlight w:val="none"/>
                <w:lang w:val="en-US" w:eastAsia="zh-CN"/>
              </w:rPr>
              <w:t>3</w:t>
            </w:r>
            <w:r>
              <w:rPr>
                <w:rFonts w:hint="default" w:ascii="Times New Roman" w:hAnsi="Times New Roman" w:cs="Times New Roman"/>
                <w:bCs/>
                <w:color w:val="auto"/>
                <w:highlight w:val="none"/>
              </w:rPr>
              <w:t>m³蜂窝活性炭，蜂窝活性炭</w:t>
            </w:r>
            <w:r>
              <w:rPr>
                <w:rFonts w:hint="default" w:ascii="Times New Roman" w:hAnsi="Times New Roman" w:cs="Times New Roman"/>
                <w:bCs/>
                <w:color w:val="auto"/>
                <w:highlight w:val="none"/>
              </w:rPr>
              <w:t>重量按500kg/m³计算，本套系统活性炭填充重量为</w:t>
            </w:r>
            <w:r>
              <w:rPr>
                <w:rFonts w:hint="eastAsia" w:cs="Times New Roman"/>
                <w:bCs/>
                <w:color w:val="auto"/>
                <w:highlight w:val="none"/>
                <w:lang w:val="en-US" w:eastAsia="zh-CN"/>
              </w:rPr>
              <w:t>1.5</w:t>
            </w:r>
            <w:r>
              <w:rPr>
                <w:rFonts w:hint="default" w:ascii="Times New Roman" w:hAnsi="Times New Roman" w:cs="Times New Roman"/>
                <w:color w:val="auto"/>
                <w:highlight w:val="none"/>
              </w:rPr>
              <w:t>吨。本项目催化燃烧设施使用活性炭进行吸附过滤，活性炭需要进行定期更换，预计每年更换1次活性炭，废活性炭产生量约</w:t>
            </w:r>
            <w:r>
              <w:rPr>
                <w:rFonts w:hint="eastAsia" w:cs="Times New Roman"/>
                <w:color w:val="auto"/>
                <w:highlight w:val="none"/>
                <w:lang w:val="en-US" w:eastAsia="zh-CN"/>
              </w:rPr>
              <w:t>1.5</w:t>
            </w:r>
            <w:r>
              <w:rPr>
                <w:rFonts w:hint="default" w:ascii="Times New Roman" w:hAnsi="Times New Roman" w:cs="Times New Roman"/>
                <w:color w:val="auto"/>
                <w:highlight w:val="none"/>
              </w:rPr>
              <w:t>t/次（</w:t>
            </w:r>
            <w:r>
              <w:rPr>
                <w:rFonts w:hint="eastAsia" w:cs="Times New Roman"/>
                <w:color w:val="auto"/>
                <w:highlight w:val="none"/>
                <w:lang w:val="en-US" w:eastAsia="zh-CN"/>
              </w:rPr>
              <w:t>1.5</w:t>
            </w:r>
            <w:r>
              <w:rPr>
                <w:rFonts w:hint="default" w:ascii="Times New Roman" w:hAnsi="Times New Roman" w:cs="Times New Roman"/>
                <w:color w:val="auto"/>
                <w:highlight w:val="none"/>
              </w:rPr>
              <w:t>t/a）。</w:t>
            </w:r>
            <w:r>
              <w:rPr>
                <w:rFonts w:hint="default" w:ascii="Times New Roman" w:hAnsi="Times New Roman" w:cs="Times New Roman"/>
                <w:color w:val="auto"/>
                <w:highlight w:val="none"/>
              </w:rPr>
              <w:t>根据《国家危险 废物名录》，废活性炭属于危险废物，废物类别为 HW49，废物代码为900-039-49。</w:t>
            </w:r>
          </w:p>
          <w:p>
            <w:pPr>
              <w:tabs>
                <w:tab w:val="left" w:pos="2520"/>
                <w:tab w:val="left" w:pos="2880"/>
              </w:tabs>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r>
              <w:rPr>
                <w:rFonts w:hint="eastAsia" w:cs="Times New Roman"/>
                <w:bCs/>
                <w:color w:val="auto"/>
                <w:highlight w:val="none"/>
                <w:lang w:val="en-US" w:eastAsia="zh-CN"/>
              </w:rPr>
              <w:t>9</w:t>
            </w:r>
            <w:r>
              <w:rPr>
                <w:rFonts w:hint="default" w:ascii="Times New Roman" w:hAnsi="Times New Roman" w:cs="Times New Roman"/>
                <w:bCs/>
                <w:color w:val="auto"/>
                <w:highlight w:val="none"/>
              </w:rPr>
              <w:t>）废漆渣</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本项目喷漆</w:t>
            </w:r>
            <w:r>
              <w:rPr>
                <w:rFonts w:hint="eastAsia" w:cs="Times New Roman"/>
                <w:color w:val="auto"/>
                <w:highlight w:val="none"/>
                <w:lang w:val="en-US" w:eastAsia="zh-CN"/>
              </w:rPr>
              <w:t>过程使用</w:t>
            </w:r>
            <w:r>
              <w:rPr>
                <w:rFonts w:hint="default" w:ascii="Times New Roman" w:hAnsi="Times New Roman" w:cs="Times New Roman"/>
                <w:color w:val="auto"/>
                <w:highlight w:val="none"/>
              </w:rPr>
              <w:t>水帘柜循环水</w:t>
            </w:r>
            <w:r>
              <w:rPr>
                <w:rFonts w:hint="eastAsia" w:cs="Times New Roman"/>
                <w:color w:val="auto"/>
                <w:highlight w:val="none"/>
                <w:lang w:val="en-US" w:eastAsia="zh-CN"/>
              </w:rPr>
              <w:t>去除</w:t>
            </w:r>
            <w:r>
              <w:rPr>
                <w:rFonts w:hint="default" w:ascii="Times New Roman" w:hAnsi="Times New Roman" w:cs="Times New Roman"/>
                <w:color w:val="auto"/>
                <w:highlight w:val="none"/>
              </w:rPr>
              <w:t>漆雾</w:t>
            </w:r>
            <w:r>
              <w:rPr>
                <w:rFonts w:hint="eastAsia" w:cs="Times New Roman"/>
                <w:color w:val="auto"/>
                <w:highlight w:val="none"/>
                <w:lang w:eastAsia="zh-CN"/>
              </w:rPr>
              <w:t>，</w:t>
            </w:r>
            <w:r>
              <w:rPr>
                <w:rFonts w:hint="eastAsia" w:cs="Times New Roman"/>
                <w:color w:val="auto"/>
                <w:highlight w:val="none"/>
                <w:lang w:val="en-US" w:eastAsia="zh-CN"/>
              </w:rPr>
              <w:t>漆雾</w:t>
            </w:r>
            <w:r>
              <w:rPr>
                <w:rFonts w:hint="default" w:ascii="Times New Roman" w:hAnsi="Times New Roman" w:cs="Times New Roman"/>
                <w:color w:val="auto"/>
                <w:highlight w:val="none"/>
              </w:rPr>
              <w:t>经沉淀后会产生漆渣。本项目漆渣产生量约为</w:t>
            </w:r>
            <w:r>
              <w:rPr>
                <w:rFonts w:hint="eastAsia" w:cs="Times New Roman"/>
                <w:color w:val="auto"/>
                <w:highlight w:val="none"/>
                <w:lang w:val="en-US" w:eastAsia="zh-CN"/>
              </w:rPr>
              <w:t>6</w:t>
            </w:r>
            <w:r>
              <w:rPr>
                <w:rFonts w:hint="default" w:ascii="Times New Roman" w:hAnsi="Times New Roman" w:cs="Times New Roman"/>
                <w:color w:val="auto"/>
                <w:highlight w:val="none"/>
              </w:rPr>
              <w:t>t/a。根据《国家危险废物名录》（2021 年版），漆渣属于危废，废物类别为 HW12 染料、涂料废物，危废代码为 900-252-12。</w:t>
            </w:r>
          </w:p>
          <w:p>
            <w:pPr>
              <w:tabs>
                <w:tab w:val="left" w:pos="2520"/>
                <w:tab w:val="left" w:pos="2880"/>
              </w:tabs>
              <w:spacing w:line="360" w:lineRule="auto"/>
              <w:ind w:firstLine="480" w:firstLineChars="200"/>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w:t>
            </w:r>
            <w:r>
              <w:rPr>
                <w:rFonts w:hint="eastAsia" w:cs="Times New Roman"/>
                <w:bCs/>
                <w:color w:val="auto"/>
                <w:highlight w:val="none"/>
                <w:lang w:val="en-US" w:eastAsia="zh-CN"/>
              </w:rPr>
              <w:t>10</w:t>
            </w:r>
            <w:r>
              <w:rPr>
                <w:rFonts w:hint="default" w:ascii="Times New Roman" w:hAnsi="Times New Roman" w:cs="Times New Roman"/>
                <w:bCs/>
                <w:color w:val="auto"/>
                <w:highlight w:val="none"/>
              </w:rPr>
              <w:t>）水帘废水</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喷漆房水帘的水需定期更换的，更换的废水即为喷漆房水帘废水，约</w:t>
            </w:r>
            <w:r>
              <w:rPr>
                <w:rFonts w:hint="eastAsia" w:cs="Times New Roman"/>
                <w:color w:val="auto"/>
                <w:highlight w:val="none"/>
                <w:lang w:val="en-US" w:eastAsia="zh-CN"/>
              </w:rPr>
              <w:t>3个月</w:t>
            </w:r>
            <w:r>
              <w:rPr>
                <w:rFonts w:hint="default" w:ascii="Times New Roman" w:hAnsi="Times New Roman" w:cs="Times New Roman"/>
                <w:color w:val="auto"/>
                <w:highlight w:val="none"/>
              </w:rPr>
              <w:t>更换一次，喷漆房水帘废水产生量约为</w:t>
            </w:r>
            <w:r>
              <w:rPr>
                <w:rFonts w:hint="eastAsia" w:cs="Times New Roman"/>
                <w:color w:val="auto"/>
                <w:highlight w:val="none"/>
                <w:lang w:val="en-US" w:eastAsia="zh-CN"/>
              </w:rPr>
              <w:t>8</w:t>
            </w:r>
            <w:r>
              <w:rPr>
                <w:rFonts w:hint="default" w:ascii="Times New Roman" w:hAnsi="Times New Roman" w:cs="Times New Roman"/>
                <w:color w:val="auto"/>
                <w:highlight w:val="none"/>
              </w:rPr>
              <w:t>t/a。喷漆房水帘废水内含有漆渣等遗留物，根据《国家危险废物名录》（2021 年版），喷漆房水帘废水属于危废，废物类别为HW12染料、涂料废物，危废代码为900-252-12。</w:t>
            </w:r>
          </w:p>
          <w:p>
            <w:pPr>
              <w:spacing w:line="360" w:lineRule="auto"/>
              <w:ind w:firstLine="480"/>
              <w:rPr>
                <w:rFonts w:hint="default" w:ascii="Times New Roman" w:hAnsi="Times New Roman" w:cs="Times New Roman"/>
                <w:b/>
                <w:color w:val="auto"/>
                <w:sz w:val="21"/>
                <w:szCs w:val="21"/>
                <w:highlight w:val="none"/>
              </w:rPr>
            </w:pPr>
            <w:r>
              <w:rPr>
                <w:rFonts w:hint="default" w:ascii="Times New Roman" w:hAnsi="Times New Roman" w:cs="Times New Roman"/>
                <w:color w:val="auto"/>
                <w:szCs w:val="24"/>
                <w:highlight w:val="none"/>
              </w:rPr>
              <w:t>本项目建成后，固体废物界定及废物处置情况见下表。</w:t>
            </w:r>
          </w:p>
          <w:p>
            <w:pPr>
              <w:adjustRightIn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w:t>
            </w:r>
            <w:r>
              <w:rPr>
                <w:rFonts w:hint="eastAsia" w:cs="Times New Roman"/>
                <w:b/>
                <w:color w:val="auto"/>
                <w:sz w:val="21"/>
                <w:szCs w:val="21"/>
                <w:highlight w:val="none"/>
                <w:lang w:val="en-US" w:eastAsia="zh-CN"/>
              </w:rPr>
              <w:t>31</w:t>
            </w:r>
            <w:r>
              <w:rPr>
                <w:rFonts w:hint="default" w:ascii="Times New Roman" w:hAnsi="Times New Roman" w:cs="Times New Roman"/>
                <w:b/>
                <w:color w:val="auto"/>
                <w:sz w:val="21"/>
                <w:szCs w:val="21"/>
                <w:highlight w:val="none"/>
              </w:rPr>
              <w:t xml:space="preserve"> 本项目危险废物类别界定及主要固体废物处置措施</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71"/>
              <w:gridCol w:w="1336"/>
              <w:gridCol w:w="1349"/>
              <w:gridCol w:w="2256"/>
              <w:gridCol w:w="1002"/>
              <w:gridCol w:w="584"/>
              <w:gridCol w:w="871"/>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shd w:val="clear" w:color="auto" w:fill="FFFFFF"/>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序号</w:t>
                  </w:r>
                </w:p>
              </w:tc>
              <w:tc>
                <w:tcPr>
                  <w:tcW w:w="735" w:type="pct"/>
                  <w:shd w:val="clear" w:color="auto" w:fill="FFFFFF"/>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固体废物</w:t>
                  </w:r>
                </w:p>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名称</w:t>
                  </w:r>
                </w:p>
              </w:tc>
              <w:tc>
                <w:tcPr>
                  <w:tcW w:w="742" w:type="pct"/>
                  <w:shd w:val="clear" w:color="auto" w:fill="FFFFFF"/>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来源</w:t>
                  </w:r>
                </w:p>
              </w:tc>
              <w:tc>
                <w:tcPr>
                  <w:tcW w:w="1241" w:type="pct"/>
                  <w:shd w:val="clear" w:color="auto" w:fill="FFFFFF"/>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类别及编号</w:t>
                  </w:r>
                </w:p>
              </w:tc>
              <w:tc>
                <w:tcPr>
                  <w:tcW w:w="551" w:type="pct"/>
                  <w:shd w:val="clear" w:color="auto" w:fill="FFFFFF"/>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形态</w:t>
                  </w:r>
                </w:p>
              </w:tc>
              <w:tc>
                <w:tcPr>
                  <w:tcW w:w="321" w:type="pct"/>
                  <w:shd w:val="clear" w:color="auto" w:fill="FFFFFF"/>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危险</w:t>
                  </w:r>
                </w:p>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特性</w:t>
                  </w:r>
                </w:p>
              </w:tc>
              <w:tc>
                <w:tcPr>
                  <w:tcW w:w="479" w:type="pct"/>
                  <w:shd w:val="clear" w:color="auto" w:fill="FFFFFF"/>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产生量</w:t>
                  </w:r>
                </w:p>
              </w:tc>
              <w:tc>
                <w:tcPr>
                  <w:tcW w:w="613" w:type="pct"/>
                  <w:shd w:val="clear" w:color="auto" w:fill="FFFFFF"/>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735"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废漆料桶</w:t>
                  </w:r>
                </w:p>
              </w:tc>
              <w:tc>
                <w:tcPr>
                  <w:tcW w:w="742"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盛装漆料</w:t>
                  </w:r>
                </w:p>
              </w:tc>
              <w:tc>
                <w:tcPr>
                  <w:tcW w:w="1241" w:type="pct"/>
                  <w:shd w:val="clear" w:color="auto" w:fill="FFFFFF"/>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HW49；900-041-49</w:t>
                  </w:r>
                </w:p>
              </w:tc>
              <w:tc>
                <w:tcPr>
                  <w:tcW w:w="551" w:type="pct"/>
                  <w:shd w:val="clear" w:color="auto" w:fill="FFFFFF"/>
                  <w:vAlign w:val="center"/>
                </w:tcPr>
                <w:p>
                  <w:pPr>
                    <w:spacing w:line="0" w:lineRule="atLeast"/>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32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479"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t/a</w:t>
                  </w:r>
                </w:p>
              </w:tc>
              <w:tc>
                <w:tcPr>
                  <w:tcW w:w="613" w:type="pct"/>
                  <w:vMerge w:val="restar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由有危险废物回收资质的单位进行处理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4"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735"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rPr>
                    <w:t>废油</w:t>
                  </w:r>
                </w:p>
              </w:tc>
              <w:tc>
                <w:tcPr>
                  <w:tcW w:w="742"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设备维护</w:t>
                  </w:r>
                </w:p>
              </w:tc>
              <w:tc>
                <w:tcPr>
                  <w:tcW w:w="1241" w:type="pct"/>
                  <w:shd w:val="clear" w:color="auto" w:fill="FFFFFF"/>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HW08；900-214-08</w:t>
                  </w:r>
                </w:p>
              </w:tc>
              <w:tc>
                <w:tcPr>
                  <w:tcW w:w="55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32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479"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0.1</w:t>
                  </w:r>
                  <w:r>
                    <w:rPr>
                      <w:rFonts w:hint="default" w:ascii="Times New Roman" w:hAnsi="Times New Roman" w:cs="Times New Roman"/>
                      <w:color w:val="auto"/>
                      <w:sz w:val="21"/>
                      <w:szCs w:val="21"/>
                      <w:highlight w:val="none"/>
                    </w:rPr>
                    <w:t>t/a</w:t>
                  </w:r>
                </w:p>
              </w:tc>
              <w:tc>
                <w:tcPr>
                  <w:tcW w:w="613" w:type="pct"/>
                  <w:vMerge w:val="continue"/>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dxa"/>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336" w:type="dxa"/>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废油桶</w:t>
                  </w:r>
                </w:p>
              </w:tc>
              <w:tc>
                <w:tcPr>
                  <w:tcW w:w="1349" w:type="dxa"/>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包装油</w:t>
                  </w:r>
                </w:p>
              </w:tc>
              <w:tc>
                <w:tcPr>
                  <w:tcW w:w="2256" w:type="dxa"/>
                  <w:shd w:val="clear" w:color="auto" w:fill="FFFFFF"/>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HW08；900-2</w:t>
                  </w:r>
                  <w:r>
                    <w:rPr>
                      <w:rFonts w:hint="eastAsia" w:cs="Times New Roman"/>
                      <w:color w:val="auto"/>
                      <w:sz w:val="21"/>
                      <w:szCs w:val="21"/>
                      <w:highlight w:val="none"/>
                      <w:lang w:val="en-US" w:eastAsia="zh-CN"/>
                    </w:rPr>
                    <w:t>49</w:t>
                  </w:r>
                  <w:r>
                    <w:rPr>
                      <w:rFonts w:hint="default" w:ascii="Times New Roman" w:hAnsi="Times New Roman" w:cs="Times New Roman"/>
                      <w:color w:val="auto"/>
                      <w:sz w:val="21"/>
                      <w:szCs w:val="21"/>
                      <w:highlight w:val="none"/>
                    </w:rPr>
                    <w:t>-08</w:t>
                  </w:r>
                </w:p>
              </w:tc>
              <w:tc>
                <w:tcPr>
                  <w:tcW w:w="1002" w:type="dxa"/>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584" w:type="dxa"/>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871" w:type="dxa"/>
                  <w:shd w:val="clear" w:color="auto" w:fill="FFFFFF"/>
                  <w:vAlign w:val="center"/>
                </w:tcPr>
                <w:p>
                  <w:pPr>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0.1</w:t>
                  </w:r>
                  <w:r>
                    <w:rPr>
                      <w:rFonts w:hint="default" w:ascii="Times New Roman" w:hAnsi="Times New Roman" w:cs="Times New Roman"/>
                      <w:color w:val="auto"/>
                      <w:sz w:val="21"/>
                      <w:szCs w:val="21"/>
                      <w:highlight w:val="none"/>
                    </w:rPr>
                    <w:t>t/a</w:t>
                  </w:r>
                </w:p>
              </w:tc>
              <w:tc>
                <w:tcPr>
                  <w:tcW w:w="613" w:type="pct"/>
                  <w:vMerge w:val="continue"/>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1" w:type="dxa"/>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735"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lang w:val="en-GB"/>
                    </w:rPr>
                  </w:pPr>
                  <w:r>
                    <w:rPr>
                      <w:rFonts w:hint="default" w:ascii="Times New Roman" w:hAnsi="Times New Roman" w:eastAsia="宋体" w:cs="Times New Roman"/>
                      <w:color w:val="auto"/>
                      <w:sz w:val="21"/>
                      <w:szCs w:val="21"/>
                      <w:highlight w:val="none"/>
                    </w:rPr>
                    <w:t>废切削液</w:t>
                  </w:r>
                </w:p>
              </w:tc>
              <w:tc>
                <w:tcPr>
                  <w:tcW w:w="742" w:type="pct"/>
                  <w:shd w:val="clear" w:color="auto" w:fill="FFFFFF"/>
                  <w:vAlign w:val="center"/>
                </w:tcPr>
                <w:p>
                  <w:pPr>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机加工</w:t>
                  </w:r>
                </w:p>
              </w:tc>
              <w:tc>
                <w:tcPr>
                  <w:tcW w:w="1241" w:type="pct"/>
                  <w:shd w:val="clear" w:color="auto" w:fill="FFFFFF"/>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w:t>
                  </w: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9；900-006-09</w:t>
                  </w:r>
                </w:p>
              </w:tc>
              <w:tc>
                <w:tcPr>
                  <w:tcW w:w="551" w:type="pct"/>
                  <w:shd w:val="clear" w:color="auto" w:fill="FFFFFF"/>
                  <w:vAlign w:val="center"/>
                </w:tcPr>
                <w:p>
                  <w:pPr>
                    <w:spacing w:line="0" w:lineRule="atLeast"/>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液态</w:t>
                  </w:r>
                </w:p>
              </w:tc>
              <w:tc>
                <w:tcPr>
                  <w:tcW w:w="32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479"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3.15</w:t>
                  </w:r>
                  <w:r>
                    <w:rPr>
                      <w:rFonts w:hint="default" w:ascii="Times New Roman" w:hAnsi="Times New Roman" w:cs="Times New Roman"/>
                      <w:color w:val="auto"/>
                      <w:sz w:val="21"/>
                      <w:szCs w:val="21"/>
                      <w:highlight w:val="none"/>
                    </w:rPr>
                    <w:t>t/a</w:t>
                  </w:r>
                </w:p>
              </w:tc>
              <w:tc>
                <w:tcPr>
                  <w:tcW w:w="613" w:type="pct"/>
                  <w:vMerge w:val="continue"/>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 w:hRule="atLeast"/>
                <w:jc w:val="center"/>
              </w:trPr>
              <w:tc>
                <w:tcPr>
                  <w:tcW w:w="571" w:type="dxa"/>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735"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废过滤棉</w:t>
                  </w:r>
                </w:p>
              </w:tc>
              <w:tc>
                <w:tcPr>
                  <w:tcW w:w="742" w:type="pct"/>
                  <w:shd w:val="clear" w:color="auto" w:fill="FFFFFF"/>
                  <w:vAlign w:val="center"/>
                </w:tcPr>
                <w:p>
                  <w:pPr>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废气处理</w:t>
                  </w:r>
                </w:p>
              </w:tc>
              <w:tc>
                <w:tcPr>
                  <w:tcW w:w="1241" w:type="pct"/>
                  <w:shd w:val="clear" w:color="auto" w:fill="FFFFFF"/>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HW49；900-041-49</w:t>
                  </w:r>
                </w:p>
              </w:tc>
              <w:tc>
                <w:tcPr>
                  <w:tcW w:w="55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32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479"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t/a</w:t>
                  </w:r>
                </w:p>
              </w:tc>
              <w:tc>
                <w:tcPr>
                  <w:tcW w:w="613" w:type="pct"/>
                  <w:vMerge w:val="continue"/>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71" w:type="dxa"/>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735"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废</w:t>
                  </w:r>
                  <w:r>
                    <w:rPr>
                      <w:rFonts w:hint="default" w:ascii="Times New Roman" w:hAnsi="Times New Roman" w:eastAsia="宋体" w:cs="Times New Roman"/>
                      <w:color w:val="auto"/>
                      <w:sz w:val="21"/>
                      <w:szCs w:val="21"/>
                      <w:highlight w:val="none"/>
                    </w:rPr>
                    <w:t>沾染布及手套</w:t>
                  </w:r>
                </w:p>
              </w:tc>
              <w:tc>
                <w:tcPr>
                  <w:tcW w:w="742"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擦拭</w:t>
                  </w:r>
                </w:p>
              </w:tc>
              <w:tc>
                <w:tcPr>
                  <w:tcW w:w="1241" w:type="pct"/>
                  <w:shd w:val="clear" w:color="auto" w:fill="FFFFFF"/>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HW49；900-041-49</w:t>
                  </w:r>
                </w:p>
              </w:tc>
              <w:tc>
                <w:tcPr>
                  <w:tcW w:w="55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32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479"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t/a</w:t>
                  </w:r>
                </w:p>
              </w:tc>
              <w:tc>
                <w:tcPr>
                  <w:tcW w:w="613" w:type="pct"/>
                  <w:vMerge w:val="continue"/>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571" w:type="dxa"/>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735"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废地毡</w:t>
                  </w:r>
                </w:p>
              </w:tc>
              <w:tc>
                <w:tcPr>
                  <w:tcW w:w="742"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地面防护</w:t>
                  </w:r>
                </w:p>
              </w:tc>
              <w:tc>
                <w:tcPr>
                  <w:tcW w:w="1241" w:type="pct"/>
                  <w:shd w:val="clear" w:color="auto" w:fill="FFFFFF"/>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HW49；900-041-49</w:t>
                  </w:r>
                </w:p>
              </w:tc>
              <w:tc>
                <w:tcPr>
                  <w:tcW w:w="55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32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479"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t/a</w:t>
                  </w:r>
                </w:p>
              </w:tc>
              <w:tc>
                <w:tcPr>
                  <w:tcW w:w="613" w:type="pct"/>
                  <w:vMerge w:val="continue"/>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 w:hRule="atLeast"/>
                <w:jc w:val="center"/>
              </w:trPr>
              <w:tc>
                <w:tcPr>
                  <w:tcW w:w="571" w:type="dxa"/>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8</w:t>
                  </w:r>
                </w:p>
              </w:tc>
              <w:tc>
                <w:tcPr>
                  <w:tcW w:w="735"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废活性炭</w:t>
                  </w:r>
                </w:p>
              </w:tc>
              <w:tc>
                <w:tcPr>
                  <w:tcW w:w="742" w:type="pct"/>
                  <w:shd w:val="clear" w:color="auto" w:fill="FFFFFF"/>
                  <w:vAlign w:val="center"/>
                </w:tcPr>
                <w:p>
                  <w:pPr>
                    <w:spacing w:line="0" w:lineRule="atLeast"/>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废气处理</w:t>
                  </w:r>
                </w:p>
              </w:tc>
              <w:tc>
                <w:tcPr>
                  <w:tcW w:w="1241" w:type="pct"/>
                  <w:shd w:val="clear" w:color="auto" w:fill="FFFFFF"/>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HW49；900-0</w:t>
                  </w:r>
                  <w:r>
                    <w:rPr>
                      <w:rFonts w:hint="eastAsia" w:ascii="Times New Roman" w:hAnsi="Times New Roman" w:cs="Times New Roman"/>
                      <w:color w:val="auto"/>
                      <w:sz w:val="21"/>
                      <w:szCs w:val="21"/>
                      <w:highlight w:val="none"/>
                      <w:lang w:val="en-US" w:eastAsia="zh-CN"/>
                    </w:rPr>
                    <w:t>39</w:t>
                  </w:r>
                  <w:r>
                    <w:rPr>
                      <w:rFonts w:hint="default" w:ascii="Times New Roman" w:hAnsi="Times New Roman" w:cs="Times New Roman"/>
                      <w:color w:val="auto"/>
                      <w:sz w:val="21"/>
                      <w:szCs w:val="21"/>
                      <w:highlight w:val="none"/>
                    </w:rPr>
                    <w:t>-49</w:t>
                  </w:r>
                </w:p>
              </w:tc>
              <w:tc>
                <w:tcPr>
                  <w:tcW w:w="55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32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479"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t/a</w:t>
                  </w:r>
                </w:p>
              </w:tc>
              <w:tc>
                <w:tcPr>
                  <w:tcW w:w="613" w:type="pct"/>
                  <w:vMerge w:val="continue"/>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 w:hRule="atLeast"/>
                <w:jc w:val="center"/>
              </w:trPr>
              <w:tc>
                <w:tcPr>
                  <w:tcW w:w="571" w:type="dxa"/>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9</w:t>
                  </w:r>
                </w:p>
              </w:tc>
              <w:tc>
                <w:tcPr>
                  <w:tcW w:w="735"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废漆渣</w:t>
                  </w:r>
                </w:p>
              </w:tc>
              <w:tc>
                <w:tcPr>
                  <w:tcW w:w="742"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除漆雾</w:t>
                  </w:r>
                </w:p>
              </w:tc>
              <w:tc>
                <w:tcPr>
                  <w:tcW w:w="1241" w:type="pct"/>
                  <w:shd w:val="clear" w:color="auto" w:fill="FFFFFF"/>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HW12，900-252-12</w:t>
                  </w:r>
                </w:p>
              </w:tc>
              <w:tc>
                <w:tcPr>
                  <w:tcW w:w="55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32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479"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t/a</w:t>
                  </w:r>
                </w:p>
              </w:tc>
              <w:tc>
                <w:tcPr>
                  <w:tcW w:w="613" w:type="pct"/>
                  <w:vMerge w:val="continue"/>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 w:hRule="atLeast"/>
                <w:jc w:val="center"/>
              </w:trPr>
              <w:tc>
                <w:tcPr>
                  <w:tcW w:w="314"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735"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水帘废水</w:t>
                  </w:r>
                </w:p>
              </w:tc>
              <w:tc>
                <w:tcPr>
                  <w:tcW w:w="742" w:type="pct"/>
                  <w:shd w:val="clear" w:color="auto" w:fill="FFFFFF"/>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除漆雾</w:t>
                  </w:r>
                </w:p>
              </w:tc>
              <w:tc>
                <w:tcPr>
                  <w:tcW w:w="1241" w:type="pct"/>
                  <w:shd w:val="clear" w:color="auto" w:fill="FFFFFF"/>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HW12，900-252-12</w:t>
                  </w:r>
                </w:p>
              </w:tc>
              <w:tc>
                <w:tcPr>
                  <w:tcW w:w="55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液态</w:t>
                  </w:r>
                </w:p>
              </w:tc>
              <w:tc>
                <w:tcPr>
                  <w:tcW w:w="321" w:type="pct"/>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479" w:type="pct"/>
                  <w:shd w:val="clear" w:color="auto" w:fill="FFFFFF"/>
                  <w:vAlign w:val="center"/>
                </w:tcPr>
                <w:p>
                  <w:pPr>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t/a</w:t>
                  </w:r>
                </w:p>
              </w:tc>
              <w:tc>
                <w:tcPr>
                  <w:tcW w:w="613" w:type="pct"/>
                  <w:vMerge w:val="continue"/>
                  <w:shd w:val="clear" w:color="auto" w:fill="FFFFFF"/>
                  <w:vAlign w:val="center"/>
                </w:tcPr>
                <w:p>
                  <w:pPr>
                    <w:spacing w:line="0" w:lineRule="atLeast"/>
                    <w:jc w:val="center"/>
                    <w:rPr>
                      <w:rFonts w:hint="default" w:ascii="Times New Roman" w:hAnsi="Times New Roman" w:cs="Times New Roman"/>
                      <w:color w:val="auto"/>
                      <w:sz w:val="21"/>
                      <w:szCs w:val="21"/>
                      <w:highlight w:val="none"/>
                    </w:rPr>
                  </w:pPr>
                </w:p>
              </w:tc>
            </w:tr>
          </w:tbl>
          <w:p>
            <w:pPr>
              <w:spacing w:line="360" w:lineRule="auto"/>
              <w:ind w:firstLine="482" w:firstLineChars="200"/>
              <w:jc w:val="left"/>
              <w:rPr>
                <w:rFonts w:hint="default" w:ascii="Times New Roman" w:hAnsi="Times New Roman" w:cs="Times New Roman"/>
                <w:b/>
                <w:bCs/>
                <w:color w:val="auto"/>
                <w:kern w:val="2"/>
                <w:highlight w:val="none"/>
              </w:rPr>
            </w:pPr>
            <w:r>
              <w:rPr>
                <w:rFonts w:hint="default" w:ascii="Times New Roman" w:hAnsi="Times New Roman" w:cs="Times New Roman"/>
                <w:b/>
                <w:bCs/>
                <w:color w:val="auto"/>
                <w:kern w:val="2"/>
                <w:highlight w:val="none"/>
              </w:rPr>
              <w:t>2.固体废物管理措施</w:t>
            </w:r>
          </w:p>
          <w:p>
            <w:pPr>
              <w:spacing w:line="360" w:lineRule="auto"/>
              <w:ind w:firstLine="480" w:firstLineChars="200"/>
              <w:jc w:val="left"/>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1）一般工业固体废物：</w:t>
            </w:r>
          </w:p>
          <w:p>
            <w:pPr>
              <w:pStyle w:val="107"/>
              <w:ind w:firstLine="422"/>
              <w:jc w:val="both"/>
              <w:rPr>
                <w:rFonts w:hint="eastAsia"/>
                <w:bCs/>
                <w:color w:val="auto"/>
                <w:sz w:val="24"/>
                <w:szCs w:val="24"/>
                <w:highlight w:val="none"/>
              </w:rPr>
            </w:pPr>
            <w:r>
              <w:rPr>
                <w:color w:val="auto"/>
                <w:sz w:val="24"/>
                <w:szCs w:val="24"/>
                <w:highlight w:val="none"/>
              </w:rPr>
              <w:t>生产过程中产生</w:t>
            </w:r>
            <w:r>
              <w:rPr>
                <w:rFonts w:hint="eastAsia"/>
                <w:color w:val="auto"/>
                <w:sz w:val="24"/>
                <w:szCs w:val="24"/>
                <w:highlight w:val="none"/>
              </w:rPr>
              <w:t>废包装物、废边角料、废焊材、焊剂、废金属屑、废钢砂、废催化剂（主要成分陶瓷、铂、钯）、收尘灰及废布袋</w:t>
            </w:r>
            <w:r>
              <w:rPr>
                <w:rFonts w:hint="eastAsia"/>
                <w:color w:val="auto"/>
                <w:sz w:val="24"/>
                <w:szCs w:val="24"/>
                <w:highlight w:val="none"/>
                <w:lang w:eastAsia="zh-CN"/>
              </w:rPr>
              <w:t>、</w:t>
            </w:r>
            <w:r>
              <w:rPr>
                <w:rFonts w:hint="eastAsia"/>
                <w:color w:val="auto"/>
                <w:sz w:val="24"/>
                <w:szCs w:val="24"/>
                <w:highlight w:val="none"/>
                <w:lang w:val="en-US" w:eastAsia="zh-CN"/>
              </w:rPr>
              <w:t>废气瓶</w:t>
            </w:r>
            <w:r>
              <w:rPr>
                <w:color w:val="auto"/>
                <w:sz w:val="24"/>
                <w:szCs w:val="24"/>
                <w:highlight w:val="none"/>
              </w:rPr>
              <w:t>为一般工业固废，</w:t>
            </w:r>
            <w:r>
              <w:rPr>
                <w:rFonts w:hint="eastAsia"/>
                <w:color w:val="auto"/>
                <w:sz w:val="24"/>
                <w:szCs w:val="24"/>
                <w:highlight w:val="none"/>
              </w:rPr>
              <w:t>废催化剂（主要成分陶瓷、铂、钯）</w:t>
            </w:r>
            <w:r>
              <w:rPr>
                <w:rFonts w:hint="eastAsia"/>
                <w:color w:val="auto"/>
                <w:sz w:val="24"/>
                <w:szCs w:val="24"/>
                <w:highlight w:val="none"/>
                <w:lang w:val="en-US" w:eastAsia="zh-CN"/>
              </w:rPr>
              <w:t>和废气瓶由厂家回收，其他一般固废</w:t>
            </w:r>
            <w:r>
              <w:rPr>
                <w:color w:val="auto"/>
                <w:sz w:val="24"/>
                <w:szCs w:val="24"/>
                <w:highlight w:val="none"/>
              </w:rPr>
              <w:t>收集后</w:t>
            </w:r>
            <w:r>
              <w:rPr>
                <w:rFonts w:hint="eastAsia"/>
                <w:color w:val="auto"/>
                <w:sz w:val="24"/>
                <w:szCs w:val="24"/>
                <w:highlight w:val="none"/>
                <w:lang w:val="en-US" w:eastAsia="zh-CN"/>
              </w:rPr>
              <w:t>外</w:t>
            </w:r>
            <w:r>
              <w:rPr>
                <w:color w:val="auto"/>
                <w:sz w:val="24"/>
                <w:szCs w:val="24"/>
                <w:highlight w:val="none"/>
              </w:rPr>
              <w:t>售物资回收单位。</w:t>
            </w:r>
            <w:r>
              <w:rPr>
                <w:rFonts w:hint="eastAsia"/>
                <w:bCs/>
                <w:color w:val="auto"/>
                <w:sz w:val="24"/>
                <w:szCs w:val="24"/>
                <w:highlight w:val="none"/>
              </w:rPr>
              <w:t>建设单位应严格按照“关于发布《一般工业固体废物管理台账制定指南（试行）》的公告”（公告2021年第82号）要求建立工业固体废物管理台账，如实记录工业固体废物的种类、数量、流向、贮存、利用、处置等信息。</w:t>
            </w:r>
          </w:p>
          <w:p>
            <w:pPr>
              <w:pStyle w:val="107"/>
              <w:ind w:firstLine="420"/>
              <w:jc w:val="both"/>
              <w:rPr>
                <w:rFonts w:hint="eastAsia"/>
                <w:bCs/>
                <w:color w:val="auto"/>
                <w:sz w:val="24"/>
                <w:szCs w:val="24"/>
                <w:highlight w:val="none"/>
              </w:rPr>
            </w:pPr>
            <w:r>
              <w:rPr>
                <w:rFonts w:hint="eastAsia"/>
                <w:bCs/>
                <w:color w:val="auto"/>
                <w:sz w:val="24"/>
                <w:szCs w:val="24"/>
                <w:highlight w:val="none"/>
              </w:rPr>
              <w:t>一般工业固体废物在厂区暂存</w:t>
            </w:r>
            <w:r>
              <w:rPr>
                <w:rFonts w:hint="eastAsia"/>
                <w:bCs/>
                <w:color w:val="auto"/>
                <w:sz w:val="24"/>
                <w:szCs w:val="24"/>
                <w:highlight w:val="none"/>
                <w:lang w:val="en-US" w:eastAsia="zh-CN"/>
              </w:rPr>
              <w:t>应满足</w:t>
            </w:r>
            <w:r>
              <w:rPr>
                <w:rFonts w:hint="eastAsia"/>
                <w:bCs/>
                <w:color w:val="auto"/>
                <w:sz w:val="24"/>
                <w:szCs w:val="24"/>
                <w:highlight w:val="none"/>
              </w:rPr>
              <w:t>《一般工业固体废物贮存和填埋污染控制标准》（GB 18599-2020）和《一般固体废物分类与代码》（GB/T 39198-2020）中相关规定。根据《一般工业固体废物贮存和填埋污染控制标准》（GB 18599-2020）适用范围说明，“采用库房、包装工具（罐、桶、包装袋等）贮存一般工业固体废物过程的污染控制，不适用本标准，其贮存过程应满足相应防渗漏、防雨淋、防扬尘等环境保护要求。”</w:t>
            </w:r>
          </w:p>
          <w:p>
            <w:pPr>
              <w:pStyle w:val="107"/>
              <w:ind w:firstLine="420"/>
              <w:jc w:val="both"/>
              <w:rPr>
                <w:rFonts w:hint="eastAsia"/>
                <w:bCs/>
                <w:color w:val="auto"/>
                <w:sz w:val="24"/>
                <w:szCs w:val="24"/>
                <w:highlight w:val="none"/>
              </w:rPr>
            </w:pPr>
            <w:r>
              <w:rPr>
                <w:rFonts w:hint="eastAsia"/>
                <w:bCs/>
                <w:color w:val="auto"/>
                <w:sz w:val="24"/>
                <w:szCs w:val="24"/>
                <w:highlight w:val="none"/>
              </w:rPr>
              <w:t>一般工业固体废物贮存、处置</w:t>
            </w:r>
            <w:r>
              <w:rPr>
                <w:rFonts w:hint="eastAsia"/>
                <w:bCs/>
                <w:color w:val="auto"/>
                <w:sz w:val="24"/>
                <w:szCs w:val="24"/>
                <w:highlight w:val="none"/>
                <w:lang w:val="en-US" w:eastAsia="zh-CN"/>
              </w:rPr>
              <w:t>满足</w:t>
            </w:r>
            <w:r>
              <w:rPr>
                <w:rFonts w:hint="eastAsia"/>
                <w:bCs/>
                <w:color w:val="auto"/>
                <w:sz w:val="24"/>
                <w:szCs w:val="24"/>
                <w:highlight w:val="none"/>
              </w:rPr>
              <w:t>《一般工业固体废物贮存和填埋污染控制标准》（GB18599-2020）要求设置。具体如下：</w:t>
            </w:r>
          </w:p>
          <w:p>
            <w:pPr>
              <w:pStyle w:val="107"/>
              <w:ind w:firstLine="420"/>
              <w:jc w:val="both"/>
              <w:rPr>
                <w:rFonts w:hint="eastAsia"/>
                <w:bCs/>
                <w:color w:val="auto"/>
                <w:sz w:val="24"/>
                <w:szCs w:val="24"/>
                <w:highlight w:val="none"/>
              </w:rPr>
            </w:pPr>
            <w:r>
              <w:rPr>
                <w:rFonts w:hint="eastAsia"/>
                <w:bCs/>
                <w:color w:val="auto"/>
                <w:sz w:val="24"/>
                <w:szCs w:val="24"/>
                <w:highlight w:val="none"/>
              </w:rPr>
              <w:t>①与将要堆放的一般工业固体废物的类别相一致。</w:t>
            </w:r>
          </w:p>
          <w:p>
            <w:pPr>
              <w:pStyle w:val="107"/>
              <w:ind w:firstLine="420"/>
              <w:jc w:val="both"/>
              <w:rPr>
                <w:rFonts w:hint="eastAsia"/>
                <w:bCs/>
                <w:color w:val="auto"/>
                <w:sz w:val="24"/>
                <w:szCs w:val="24"/>
                <w:highlight w:val="none"/>
              </w:rPr>
            </w:pPr>
            <w:r>
              <w:rPr>
                <w:rFonts w:hint="eastAsia"/>
                <w:bCs/>
                <w:color w:val="auto"/>
                <w:sz w:val="24"/>
                <w:szCs w:val="24"/>
                <w:highlight w:val="none"/>
              </w:rPr>
              <w:t>②防止雨水径流进入贮存场内。</w:t>
            </w:r>
          </w:p>
          <w:p>
            <w:pPr>
              <w:pStyle w:val="107"/>
              <w:ind w:firstLine="420"/>
              <w:jc w:val="both"/>
              <w:rPr>
                <w:rFonts w:hint="eastAsia"/>
                <w:bCs/>
                <w:color w:val="auto"/>
                <w:sz w:val="24"/>
                <w:szCs w:val="24"/>
                <w:highlight w:val="none"/>
              </w:rPr>
            </w:pPr>
            <w:r>
              <w:rPr>
                <w:rFonts w:hint="eastAsia"/>
                <w:bCs/>
                <w:color w:val="auto"/>
                <w:sz w:val="24"/>
                <w:szCs w:val="24"/>
                <w:highlight w:val="none"/>
              </w:rPr>
              <w:t>③禁止危险废物和生活垃圾混入。</w:t>
            </w:r>
          </w:p>
          <w:p>
            <w:pPr>
              <w:pStyle w:val="107"/>
              <w:ind w:firstLine="420"/>
              <w:jc w:val="both"/>
              <w:rPr>
                <w:rFonts w:hint="eastAsia"/>
                <w:bCs/>
                <w:color w:val="auto"/>
                <w:sz w:val="24"/>
                <w:szCs w:val="24"/>
                <w:highlight w:val="none"/>
              </w:rPr>
            </w:pPr>
            <w:r>
              <w:rPr>
                <w:rFonts w:hint="eastAsia"/>
                <w:bCs/>
                <w:color w:val="auto"/>
                <w:sz w:val="24"/>
                <w:szCs w:val="24"/>
                <w:highlight w:val="none"/>
              </w:rPr>
              <w:t>④贮存、处置场的使用单位，应建立档案制度。应将入场的一般工业固体废物的种类和数量以及下列资料，详细记录在案，长期保存，供随时查阅。</w:t>
            </w:r>
          </w:p>
          <w:p>
            <w:pPr>
              <w:pStyle w:val="107"/>
              <w:ind w:firstLine="420"/>
              <w:jc w:val="both"/>
              <w:rPr>
                <w:color w:val="auto"/>
                <w:sz w:val="24"/>
                <w:szCs w:val="24"/>
                <w:highlight w:val="none"/>
              </w:rPr>
            </w:pPr>
            <w:r>
              <w:rPr>
                <w:rFonts w:hint="eastAsia"/>
                <w:bCs/>
                <w:color w:val="auto"/>
                <w:sz w:val="24"/>
                <w:szCs w:val="24"/>
                <w:highlight w:val="none"/>
              </w:rPr>
              <w:t>⑤贮存场所应加遮盖、防雨淋。</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2）生活垃圾</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本项目产生的生活垃圾，由城管委会定期清运。建设单位应严格按照《天津市生活废弃物管理规定》（津政令第29号）和《天津市生活垃圾管理条例》（2020年12月1日起施行）中相关规定对生活垃圾进行处置。</w:t>
            </w:r>
          </w:p>
          <w:p>
            <w:pPr>
              <w:spacing w:line="360" w:lineRule="auto"/>
              <w:ind w:firstLine="480" w:firstLineChars="200"/>
              <w:jc w:val="left"/>
              <w:rPr>
                <w:rFonts w:hint="default" w:ascii="Times New Roman" w:hAnsi="Times New Roman" w:cs="Times New Roman"/>
                <w:color w:val="auto"/>
                <w:kern w:val="2"/>
                <w:highlight w:val="none"/>
              </w:rPr>
            </w:pPr>
            <w:r>
              <w:rPr>
                <w:rFonts w:hint="default" w:ascii="Times New Roman" w:hAnsi="Times New Roman" w:cs="Times New Roman"/>
                <w:color w:val="auto"/>
                <w:kern w:val="2"/>
                <w:highlight w:val="none"/>
              </w:rPr>
              <w:t>3）危险废物</w:t>
            </w:r>
          </w:p>
          <w:p>
            <w:pPr>
              <w:pStyle w:val="16"/>
              <w:ind w:firstLine="480" w:firstLineChars="200"/>
              <w:rPr>
                <w:rFonts w:hint="default" w:ascii="Times New Roman" w:hAnsi="Times New Roman" w:cs="Times New Roman"/>
                <w:b/>
                <w:color w:val="auto"/>
                <w:kern w:val="2"/>
                <w:sz w:val="21"/>
                <w:szCs w:val="21"/>
                <w:highlight w:val="none"/>
              </w:rPr>
            </w:pPr>
            <w:r>
              <w:rPr>
                <w:rFonts w:hint="default" w:ascii="Times New Roman" w:hAnsi="Times New Roman" w:cs="Times New Roman"/>
                <w:color w:val="auto"/>
                <w:highlight w:val="none"/>
              </w:rPr>
              <w:t>根据《建设项目危险废物环境影响评价指南》要求，本评价明确危险废物的名称、数量、形态、类别、危险特性和污染防治措施等内容，本项目危险废物基本情况见下表。</w:t>
            </w:r>
          </w:p>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b/>
                <w:color w:val="auto"/>
                <w:kern w:val="2"/>
                <w:sz w:val="21"/>
                <w:szCs w:val="21"/>
                <w:highlight w:val="none"/>
              </w:rPr>
              <w:t>表4-</w:t>
            </w:r>
            <w:r>
              <w:rPr>
                <w:rFonts w:hint="eastAsia" w:cs="Times New Roman"/>
                <w:b/>
                <w:color w:val="auto"/>
                <w:kern w:val="2"/>
                <w:sz w:val="21"/>
                <w:szCs w:val="21"/>
                <w:highlight w:val="none"/>
                <w:lang w:val="en-US" w:eastAsia="zh-CN"/>
              </w:rPr>
              <w:t>32</w:t>
            </w:r>
            <w:r>
              <w:rPr>
                <w:rFonts w:hint="default" w:ascii="Times New Roman" w:hAnsi="Times New Roman" w:cs="Times New Roman"/>
                <w:b/>
                <w:color w:val="auto"/>
                <w:kern w:val="2"/>
                <w:sz w:val="21"/>
                <w:szCs w:val="21"/>
                <w:highlight w:val="none"/>
              </w:rPr>
              <w:t xml:space="preserve"> 危险废物产生及处置情况</w:t>
            </w:r>
          </w:p>
          <w:tbl>
            <w:tblPr>
              <w:tblStyle w:val="29"/>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9"/>
              <w:gridCol w:w="893"/>
              <w:gridCol w:w="845"/>
              <w:gridCol w:w="1065"/>
              <w:gridCol w:w="820"/>
              <w:gridCol w:w="627"/>
              <w:gridCol w:w="1376"/>
              <w:gridCol w:w="560"/>
              <w:gridCol w:w="560"/>
              <w:gridCol w:w="560"/>
              <w:gridCol w:w="702"/>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3" w:type="pct"/>
                  <w:shd w:val="clear" w:color="auto" w:fill="FFFFFF"/>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序号</w:t>
                  </w:r>
                </w:p>
              </w:tc>
              <w:tc>
                <w:tcPr>
                  <w:tcW w:w="491" w:type="pct"/>
                  <w:shd w:val="clear" w:color="auto" w:fill="FFFFFF"/>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危险废物</w:t>
                  </w:r>
                </w:p>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名称</w:t>
                  </w:r>
                </w:p>
              </w:tc>
              <w:tc>
                <w:tcPr>
                  <w:tcW w:w="465" w:type="pct"/>
                  <w:shd w:val="clear" w:color="auto" w:fill="FFFFFF"/>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来源</w:t>
                  </w:r>
                </w:p>
              </w:tc>
              <w:tc>
                <w:tcPr>
                  <w:tcW w:w="586" w:type="pct"/>
                  <w:shd w:val="clear" w:color="auto" w:fill="FFFFFF"/>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类别及代码</w:t>
                  </w:r>
                </w:p>
              </w:tc>
              <w:tc>
                <w:tcPr>
                  <w:tcW w:w="451" w:type="pct"/>
                  <w:shd w:val="clear" w:color="auto" w:fill="FFFFFF"/>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产生</w:t>
                  </w:r>
                </w:p>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工序</w:t>
                  </w:r>
                </w:p>
              </w:tc>
              <w:tc>
                <w:tcPr>
                  <w:tcW w:w="345" w:type="pct"/>
                  <w:shd w:val="clear" w:color="auto" w:fill="FFFFFF"/>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形态</w:t>
                  </w:r>
                </w:p>
              </w:tc>
              <w:tc>
                <w:tcPr>
                  <w:tcW w:w="757" w:type="pct"/>
                  <w:shd w:val="clear" w:color="auto" w:fill="FFFFFF"/>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主要成分</w:t>
                  </w:r>
                </w:p>
              </w:tc>
              <w:tc>
                <w:tcPr>
                  <w:tcW w:w="308" w:type="pct"/>
                  <w:shd w:val="clear" w:color="auto" w:fill="FFFFFF"/>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产废周期</w:t>
                  </w:r>
                </w:p>
              </w:tc>
              <w:tc>
                <w:tcPr>
                  <w:tcW w:w="308" w:type="pct"/>
                  <w:shd w:val="clear" w:color="auto" w:fill="FFFFFF"/>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危险</w:t>
                  </w:r>
                </w:p>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特性</w:t>
                  </w:r>
                </w:p>
              </w:tc>
              <w:tc>
                <w:tcPr>
                  <w:tcW w:w="308" w:type="pct"/>
                  <w:shd w:val="clear" w:color="auto" w:fill="FFFFFF"/>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行业</w:t>
                  </w:r>
                </w:p>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类别</w:t>
                  </w:r>
                </w:p>
              </w:tc>
              <w:tc>
                <w:tcPr>
                  <w:tcW w:w="386" w:type="pct"/>
                  <w:shd w:val="clear" w:color="auto" w:fill="FFFFFF"/>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年产生量</w:t>
                  </w:r>
                </w:p>
              </w:tc>
              <w:tc>
                <w:tcPr>
                  <w:tcW w:w="386" w:type="pct"/>
                  <w:shd w:val="clear" w:color="auto" w:fill="FFFFFF"/>
                  <w:vAlign w:val="center"/>
                </w:tcPr>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处置</w:t>
                  </w:r>
                </w:p>
                <w:p>
                  <w:pPr>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3" w:type="pct"/>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1</w:t>
                  </w:r>
                </w:p>
              </w:tc>
              <w:tc>
                <w:tcPr>
                  <w:tcW w:w="491" w:type="pct"/>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废漆料桶</w:t>
                  </w:r>
                </w:p>
              </w:tc>
              <w:tc>
                <w:tcPr>
                  <w:tcW w:w="465"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盛装漆料</w:t>
                  </w:r>
                </w:p>
              </w:tc>
              <w:tc>
                <w:tcPr>
                  <w:tcW w:w="586" w:type="pct"/>
                  <w:vAlign w:val="center"/>
                </w:tcPr>
                <w:p>
                  <w:pPr>
                    <w:widowControl/>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HW49；900-041-49</w:t>
                  </w:r>
                </w:p>
              </w:tc>
              <w:tc>
                <w:tcPr>
                  <w:tcW w:w="451" w:type="pct"/>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盛装漆料</w:t>
                  </w:r>
                </w:p>
              </w:tc>
              <w:tc>
                <w:tcPr>
                  <w:tcW w:w="345" w:type="pct"/>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757" w:type="pct"/>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金属、废油漆</w:t>
                  </w:r>
                </w:p>
              </w:tc>
              <w:tc>
                <w:tcPr>
                  <w:tcW w:w="308"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每</w:t>
                  </w:r>
                  <w:r>
                    <w:rPr>
                      <w:rFonts w:hint="eastAsia" w:cs="Times New Roman"/>
                      <w:color w:val="auto"/>
                      <w:sz w:val="21"/>
                      <w:szCs w:val="21"/>
                      <w:highlight w:val="none"/>
                      <w:lang w:val="en-US" w:eastAsia="zh-CN"/>
                    </w:rPr>
                    <w:t>天</w:t>
                  </w:r>
                </w:p>
              </w:tc>
              <w:tc>
                <w:tcPr>
                  <w:tcW w:w="308" w:type="pct"/>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T/In</w:t>
                  </w:r>
                </w:p>
              </w:tc>
              <w:tc>
                <w:tcPr>
                  <w:tcW w:w="308" w:type="pct"/>
                  <w:vMerge w:val="restart"/>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非特定行业</w:t>
                  </w:r>
                </w:p>
              </w:tc>
              <w:tc>
                <w:tcPr>
                  <w:tcW w:w="386" w:type="pct"/>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t/a</w:t>
                  </w:r>
                </w:p>
              </w:tc>
              <w:tc>
                <w:tcPr>
                  <w:tcW w:w="386" w:type="pct"/>
                  <w:vMerge w:val="restart"/>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贮存于</w:t>
                  </w:r>
                </w:p>
                <w:p>
                  <w:pP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危废间，定期委托有资质的单位进行处理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3" w:type="pct"/>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sz w:val="21"/>
                      <w:szCs w:val="21"/>
                      <w:highlight w:val="none"/>
                    </w:rPr>
                    <w:t>2</w:t>
                  </w:r>
                </w:p>
              </w:tc>
              <w:tc>
                <w:tcPr>
                  <w:tcW w:w="491" w:type="pct"/>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废油</w:t>
                  </w:r>
                </w:p>
              </w:tc>
              <w:tc>
                <w:tcPr>
                  <w:tcW w:w="465"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设备维护</w:t>
                  </w:r>
                </w:p>
              </w:tc>
              <w:tc>
                <w:tcPr>
                  <w:tcW w:w="586" w:type="pct"/>
                  <w:vAlign w:val="center"/>
                </w:tcPr>
                <w:p>
                  <w:pPr>
                    <w:widowControl/>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HW08；900-214-08</w:t>
                  </w:r>
                </w:p>
              </w:tc>
              <w:tc>
                <w:tcPr>
                  <w:tcW w:w="451" w:type="pct"/>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设备维护</w:t>
                  </w:r>
                </w:p>
              </w:tc>
              <w:tc>
                <w:tcPr>
                  <w:tcW w:w="345" w:type="pct"/>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757" w:type="pct"/>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w:t>
                  </w:r>
                </w:p>
              </w:tc>
              <w:tc>
                <w:tcPr>
                  <w:tcW w:w="308"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每</w:t>
                  </w:r>
                  <w:r>
                    <w:rPr>
                      <w:rFonts w:hint="eastAsia" w:cs="Times New Roman"/>
                      <w:color w:val="auto"/>
                      <w:sz w:val="21"/>
                      <w:szCs w:val="21"/>
                      <w:highlight w:val="none"/>
                      <w:lang w:val="en-US" w:eastAsia="zh-CN"/>
                    </w:rPr>
                    <w:t>月</w:t>
                  </w:r>
                </w:p>
              </w:tc>
              <w:tc>
                <w:tcPr>
                  <w:tcW w:w="308" w:type="pct"/>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T/In</w:t>
                  </w:r>
                </w:p>
              </w:tc>
              <w:tc>
                <w:tcPr>
                  <w:tcW w:w="308" w:type="pct"/>
                  <w:vMerge w:val="continue"/>
                  <w:vAlign w:val="center"/>
                </w:tcPr>
                <w:p>
                  <w:pPr>
                    <w:jc w:val="center"/>
                    <w:rPr>
                      <w:rFonts w:hint="default" w:ascii="Times New Roman" w:hAnsi="Times New Roman" w:cs="Times New Roman"/>
                      <w:color w:val="auto"/>
                      <w:kern w:val="2"/>
                      <w:sz w:val="21"/>
                      <w:szCs w:val="21"/>
                      <w:highlight w:val="none"/>
                    </w:rPr>
                  </w:pPr>
                </w:p>
              </w:tc>
              <w:tc>
                <w:tcPr>
                  <w:tcW w:w="386" w:type="pct"/>
                  <w:vAlign w:val="center"/>
                </w:tcPr>
                <w:p>
                  <w:pPr>
                    <w:spacing w:line="0" w:lineRule="atLeast"/>
                    <w:jc w:val="center"/>
                    <w:rPr>
                      <w:rFonts w:hint="default" w:ascii="Times New Roman" w:hAnsi="Times New Roman" w:cs="Times New Roman"/>
                      <w:color w:val="auto"/>
                      <w:kern w:val="2"/>
                      <w:sz w:val="21"/>
                      <w:szCs w:val="21"/>
                      <w:highlight w:val="none"/>
                    </w:rPr>
                  </w:pPr>
                  <w:r>
                    <w:rPr>
                      <w:rFonts w:hint="eastAsia" w:cs="Times New Roman"/>
                      <w:color w:val="auto"/>
                      <w:sz w:val="21"/>
                      <w:szCs w:val="21"/>
                      <w:highlight w:val="none"/>
                      <w:lang w:val="en-US" w:eastAsia="zh-CN"/>
                    </w:rPr>
                    <w:t>0.1</w:t>
                  </w:r>
                  <w:r>
                    <w:rPr>
                      <w:rFonts w:hint="default" w:ascii="Times New Roman" w:hAnsi="Times New Roman" w:cs="Times New Roman"/>
                      <w:color w:val="auto"/>
                      <w:sz w:val="21"/>
                      <w:szCs w:val="21"/>
                      <w:highlight w:val="none"/>
                    </w:rPr>
                    <w:t>t/a</w:t>
                  </w:r>
                </w:p>
              </w:tc>
              <w:tc>
                <w:tcPr>
                  <w:tcW w:w="386" w:type="pct"/>
                  <w:vMerge w:val="continue"/>
                  <w:vAlign w:val="center"/>
                </w:tcPr>
                <w:p>
                  <w:pPr>
                    <w:rPr>
                      <w:rFonts w:hint="default" w:ascii="Times New Roman" w:hAnsi="Times New Roman"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9" w:type="dxa"/>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491"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废油桶</w:t>
                  </w:r>
                </w:p>
              </w:tc>
              <w:tc>
                <w:tcPr>
                  <w:tcW w:w="465"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包装油</w:t>
                  </w:r>
                </w:p>
              </w:tc>
              <w:tc>
                <w:tcPr>
                  <w:tcW w:w="586" w:type="pct"/>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HW08；900-2</w:t>
                  </w:r>
                  <w:r>
                    <w:rPr>
                      <w:rFonts w:hint="eastAsia" w:cs="Times New Roman"/>
                      <w:color w:val="auto"/>
                      <w:sz w:val="21"/>
                      <w:szCs w:val="21"/>
                      <w:highlight w:val="none"/>
                      <w:lang w:val="en-US" w:eastAsia="zh-CN"/>
                    </w:rPr>
                    <w:t>49</w:t>
                  </w:r>
                  <w:r>
                    <w:rPr>
                      <w:rFonts w:hint="default" w:ascii="Times New Roman" w:hAnsi="Times New Roman" w:cs="Times New Roman"/>
                      <w:color w:val="auto"/>
                      <w:sz w:val="21"/>
                      <w:szCs w:val="21"/>
                      <w:highlight w:val="none"/>
                    </w:rPr>
                    <w:t>-08</w:t>
                  </w:r>
                </w:p>
              </w:tc>
              <w:tc>
                <w:tcPr>
                  <w:tcW w:w="451"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包装油</w:t>
                  </w:r>
                </w:p>
              </w:tc>
              <w:tc>
                <w:tcPr>
                  <w:tcW w:w="345"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757" w:type="pct"/>
                  <w:vAlign w:val="center"/>
                </w:tcPr>
                <w:p>
                  <w:pPr>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金属、废油</w:t>
                  </w:r>
                </w:p>
              </w:tc>
              <w:tc>
                <w:tcPr>
                  <w:tcW w:w="308"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w:t>
                  </w:r>
                  <w:r>
                    <w:rPr>
                      <w:rFonts w:hint="eastAsia" w:cs="Times New Roman"/>
                      <w:color w:val="auto"/>
                      <w:sz w:val="21"/>
                      <w:szCs w:val="21"/>
                      <w:highlight w:val="none"/>
                      <w:lang w:val="en-US" w:eastAsia="zh-CN"/>
                    </w:rPr>
                    <w:t>月</w:t>
                  </w:r>
                </w:p>
              </w:tc>
              <w:tc>
                <w:tcPr>
                  <w:tcW w:w="308"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308" w:type="pct"/>
                  <w:vMerge w:val="continue"/>
                  <w:vAlign w:val="center"/>
                </w:tcPr>
                <w:p>
                  <w:pPr>
                    <w:jc w:val="center"/>
                    <w:rPr>
                      <w:rFonts w:hint="default" w:ascii="Times New Roman" w:hAnsi="Times New Roman" w:cs="Times New Roman"/>
                      <w:color w:val="auto"/>
                      <w:kern w:val="2"/>
                      <w:sz w:val="21"/>
                      <w:szCs w:val="21"/>
                      <w:highlight w:val="none"/>
                    </w:rPr>
                  </w:pPr>
                </w:p>
              </w:tc>
              <w:tc>
                <w:tcPr>
                  <w:tcW w:w="386" w:type="pct"/>
                  <w:vAlign w:val="center"/>
                </w:tcPr>
                <w:p>
                  <w:pPr>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0.1</w:t>
                  </w:r>
                  <w:r>
                    <w:rPr>
                      <w:rFonts w:hint="default" w:ascii="Times New Roman" w:hAnsi="Times New Roman" w:cs="Times New Roman"/>
                      <w:color w:val="auto"/>
                      <w:sz w:val="21"/>
                      <w:szCs w:val="21"/>
                      <w:highlight w:val="none"/>
                    </w:rPr>
                    <w:t>t/a</w:t>
                  </w:r>
                </w:p>
              </w:tc>
              <w:tc>
                <w:tcPr>
                  <w:tcW w:w="386" w:type="pct"/>
                  <w:vMerge w:val="continue"/>
                  <w:vAlign w:val="center"/>
                </w:tcPr>
                <w:p>
                  <w:pPr>
                    <w:rPr>
                      <w:rFonts w:hint="default" w:ascii="Times New Roman" w:hAnsi="Times New Roman"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9" w:type="dxa"/>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4</w:t>
                  </w:r>
                </w:p>
              </w:tc>
              <w:tc>
                <w:tcPr>
                  <w:tcW w:w="491" w:type="pct"/>
                  <w:vAlign w:val="center"/>
                </w:tcPr>
                <w:p>
                  <w:pPr>
                    <w:spacing w:line="0" w:lineRule="atLeast"/>
                    <w:jc w:val="center"/>
                    <w:rPr>
                      <w:rFonts w:hint="default" w:ascii="Times New Roman" w:hAnsi="Times New Roman" w:cs="Times New Roman"/>
                      <w:color w:val="auto"/>
                      <w:sz w:val="21"/>
                      <w:szCs w:val="21"/>
                      <w:highlight w:val="none"/>
                      <w:lang w:val="en-GB"/>
                    </w:rPr>
                  </w:pPr>
                  <w:r>
                    <w:rPr>
                      <w:rFonts w:hint="default" w:ascii="Times New Roman" w:hAnsi="Times New Roman" w:cs="Times New Roman"/>
                      <w:color w:val="auto"/>
                      <w:sz w:val="21"/>
                      <w:szCs w:val="21"/>
                      <w:highlight w:val="none"/>
                    </w:rPr>
                    <w:t>废切削液</w:t>
                  </w:r>
                </w:p>
              </w:tc>
              <w:tc>
                <w:tcPr>
                  <w:tcW w:w="465" w:type="pct"/>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机加工</w:t>
                  </w:r>
                </w:p>
              </w:tc>
              <w:tc>
                <w:tcPr>
                  <w:tcW w:w="586" w:type="pct"/>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w:t>
                  </w: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9；900-006-09</w:t>
                  </w:r>
                </w:p>
              </w:tc>
              <w:tc>
                <w:tcPr>
                  <w:tcW w:w="451" w:type="pct"/>
                  <w:vAlign w:val="center"/>
                </w:tcPr>
                <w:p>
                  <w:pPr>
                    <w:spacing w:line="0" w:lineRule="atLeast"/>
                    <w:jc w:val="center"/>
                    <w:rPr>
                      <w:rFonts w:hint="default" w:ascii="Times New Roman" w:hAnsi="Times New Roman" w:cs="Times New Roman"/>
                      <w:color w:val="auto"/>
                      <w:kern w:val="2"/>
                      <w:sz w:val="21"/>
                      <w:szCs w:val="21"/>
                      <w:highlight w:val="none"/>
                    </w:rPr>
                  </w:pPr>
                  <w:r>
                    <w:rPr>
                      <w:rFonts w:hint="eastAsia" w:cs="Times New Roman"/>
                      <w:color w:val="auto"/>
                      <w:sz w:val="21"/>
                      <w:szCs w:val="21"/>
                      <w:highlight w:val="none"/>
                      <w:lang w:val="en-US" w:eastAsia="zh-CN"/>
                    </w:rPr>
                    <w:t>机加工</w:t>
                  </w:r>
                </w:p>
              </w:tc>
              <w:tc>
                <w:tcPr>
                  <w:tcW w:w="345" w:type="pct"/>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液态</w:t>
                  </w:r>
                </w:p>
              </w:tc>
              <w:tc>
                <w:tcPr>
                  <w:tcW w:w="757" w:type="pct"/>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废切削液</w:t>
                  </w:r>
                </w:p>
              </w:tc>
              <w:tc>
                <w:tcPr>
                  <w:tcW w:w="308"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每天</w:t>
                  </w:r>
                </w:p>
              </w:tc>
              <w:tc>
                <w:tcPr>
                  <w:tcW w:w="308"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308" w:type="pct"/>
                  <w:vMerge w:val="continue"/>
                  <w:vAlign w:val="center"/>
                </w:tcPr>
                <w:p>
                  <w:pPr>
                    <w:jc w:val="center"/>
                    <w:rPr>
                      <w:rFonts w:hint="default" w:ascii="Times New Roman" w:hAnsi="Times New Roman" w:cs="Times New Roman"/>
                      <w:color w:val="auto"/>
                      <w:kern w:val="2"/>
                      <w:sz w:val="21"/>
                      <w:szCs w:val="21"/>
                      <w:highlight w:val="none"/>
                    </w:rPr>
                  </w:pPr>
                </w:p>
              </w:tc>
              <w:tc>
                <w:tcPr>
                  <w:tcW w:w="386" w:type="pct"/>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3.15</w:t>
                  </w:r>
                  <w:r>
                    <w:rPr>
                      <w:rFonts w:hint="default" w:ascii="Times New Roman" w:hAnsi="Times New Roman" w:cs="Times New Roman"/>
                      <w:color w:val="auto"/>
                      <w:sz w:val="21"/>
                      <w:szCs w:val="21"/>
                      <w:highlight w:val="none"/>
                    </w:rPr>
                    <w:t>t/a</w:t>
                  </w:r>
                </w:p>
              </w:tc>
              <w:tc>
                <w:tcPr>
                  <w:tcW w:w="386" w:type="pct"/>
                  <w:vMerge w:val="continue"/>
                  <w:vAlign w:val="center"/>
                </w:tcPr>
                <w:p>
                  <w:pPr>
                    <w:jc w:val="center"/>
                    <w:rPr>
                      <w:rFonts w:hint="default" w:ascii="Times New Roman" w:hAnsi="Times New Roman"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9" w:type="dxa"/>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5</w:t>
                  </w:r>
                </w:p>
              </w:tc>
              <w:tc>
                <w:tcPr>
                  <w:tcW w:w="491" w:type="pct"/>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废过滤棉</w:t>
                  </w:r>
                </w:p>
              </w:tc>
              <w:tc>
                <w:tcPr>
                  <w:tcW w:w="465" w:type="pct"/>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废气处理</w:t>
                  </w:r>
                </w:p>
              </w:tc>
              <w:tc>
                <w:tcPr>
                  <w:tcW w:w="586" w:type="pct"/>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HW49；900-041-49</w:t>
                  </w:r>
                </w:p>
              </w:tc>
              <w:tc>
                <w:tcPr>
                  <w:tcW w:w="451" w:type="pct"/>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废气处理</w:t>
                  </w:r>
                </w:p>
              </w:tc>
              <w:tc>
                <w:tcPr>
                  <w:tcW w:w="345"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757" w:type="pct"/>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废油漆、过滤棉</w:t>
                  </w:r>
                </w:p>
              </w:tc>
              <w:tc>
                <w:tcPr>
                  <w:tcW w:w="308"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每</w:t>
                  </w:r>
                  <w:r>
                    <w:rPr>
                      <w:rFonts w:hint="eastAsia" w:cs="Times New Roman"/>
                      <w:color w:val="auto"/>
                      <w:sz w:val="21"/>
                      <w:szCs w:val="21"/>
                      <w:highlight w:val="none"/>
                      <w:lang w:val="en-US" w:eastAsia="zh-CN"/>
                    </w:rPr>
                    <w:t>星期</w:t>
                  </w:r>
                </w:p>
              </w:tc>
              <w:tc>
                <w:tcPr>
                  <w:tcW w:w="308"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308" w:type="pct"/>
                  <w:vMerge w:val="continue"/>
                  <w:vAlign w:val="center"/>
                </w:tcPr>
                <w:p>
                  <w:pPr>
                    <w:jc w:val="center"/>
                    <w:rPr>
                      <w:rFonts w:hint="default" w:ascii="Times New Roman" w:hAnsi="Times New Roman" w:cs="Times New Roman"/>
                      <w:color w:val="auto"/>
                      <w:kern w:val="2"/>
                      <w:sz w:val="21"/>
                      <w:szCs w:val="21"/>
                      <w:highlight w:val="none"/>
                    </w:rPr>
                  </w:pPr>
                </w:p>
              </w:tc>
              <w:tc>
                <w:tcPr>
                  <w:tcW w:w="386" w:type="pct"/>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t/a</w:t>
                  </w:r>
                </w:p>
              </w:tc>
              <w:tc>
                <w:tcPr>
                  <w:tcW w:w="386" w:type="pct"/>
                  <w:vMerge w:val="continue"/>
                  <w:vAlign w:val="center"/>
                </w:tcPr>
                <w:p>
                  <w:pPr>
                    <w:jc w:val="center"/>
                    <w:rPr>
                      <w:rFonts w:hint="default" w:ascii="Times New Roman" w:hAnsi="Times New Roman"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9" w:type="dxa"/>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6</w:t>
                  </w:r>
                </w:p>
              </w:tc>
              <w:tc>
                <w:tcPr>
                  <w:tcW w:w="491" w:type="pct"/>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废</w:t>
                  </w:r>
                  <w:r>
                    <w:rPr>
                      <w:rFonts w:hint="default" w:ascii="Times New Roman" w:hAnsi="Times New Roman" w:cs="Times New Roman"/>
                      <w:color w:val="auto"/>
                      <w:sz w:val="21"/>
                      <w:szCs w:val="21"/>
                      <w:highlight w:val="none"/>
                    </w:rPr>
                    <w:t>沾染布及手套</w:t>
                  </w:r>
                </w:p>
              </w:tc>
              <w:tc>
                <w:tcPr>
                  <w:tcW w:w="465"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擦拭</w:t>
                  </w:r>
                </w:p>
              </w:tc>
              <w:tc>
                <w:tcPr>
                  <w:tcW w:w="586" w:type="pct"/>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HW49；900-041-49</w:t>
                  </w:r>
                </w:p>
              </w:tc>
              <w:tc>
                <w:tcPr>
                  <w:tcW w:w="451"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擦拭</w:t>
                  </w:r>
                </w:p>
              </w:tc>
              <w:tc>
                <w:tcPr>
                  <w:tcW w:w="345"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757" w:type="pct"/>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废油漆、棉布</w:t>
                  </w:r>
                </w:p>
              </w:tc>
              <w:tc>
                <w:tcPr>
                  <w:tcW w:w="308"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每天</w:t>
                  </w:r>
                </w:p>
              </w:tc>
              <w:tc>
                <w:tcPr>
                  <w:tcW w:w="308"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308" w:type="pct"/>
                  <w:vMerge w:val="continue"/>
                  <w:vAlign w:val="center"/>
                </w:tcPr>
                <w:p>
                  <w:pPr>
                    <w:jc w:val="center"/>
                    <w:rPr>
                      <w:rFonts w:hint="default" w:ascii="Times New Roman" w:hAnsi="Times New Roman" w:cs="Times New Roman"/>
                      <w:color w:val="auto"/>
                      <w:kern w:val="2"/>
                      <w:sz w:val="21"/>
                      <w:szCs w:val="21"/>
                      <w:highlight w:val="none"/>
                    </w:rPr>
                  </w:pPr>
                </w:p>
              </w:tc>
              <w:tc>
                <w:tcPr>
                  <w:tcW w:w="386"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t/a</w:t>
                  </w:r>
                </w:p>
              </w:tc>
              <w:tc>
                <w:tcPr>
                  <w:tcW w:w="386" w:type="pct"/>
                  <w:vMerge w:val="continue"/>
                  <w:vAlign w:val="center"/>
                </w:tcPr>
                <w:p>
                  <w:pPr>
                    <w:jc w:val="center"/>
                    <w:rPr>
                      <w:rFonts w:hint="default" w:ascii="Times New Roman" w:hAnsi="Times New Roman"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9" w:type="dxa"/>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7</w:t>
                  </w:r>
                </w:p>
              </w:tc>
              <w:tc>
                <w:tcPr>
                  <w:tcW w:w="491" w:type="pct"/>
                  <w:vAlign w:val="center"/>
                </w:tcPr>
                <w:p>
                  <w:pPr>
                    <w:spacing w:line="0" w:lineRule="atLeast"/>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废地毡</w:t>
                  </w:r>
                </w:p>
              </w:tc>
              <w:tc>
                <w:tcPr>
                  <w:tcW w:w="465" w:type="pct"/>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地面防护</w:t>
                  </w:r>
                </w:p>
              </w:tc>
              <w:tc>
                <w:tcPr>
                  <w:tcW w:w="586" w:type="pct"/>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HW49；900-041-49</w:t>
                  </w:r>
                </w:p>
              </w:tc>
              <w:tc>
                <w:tcPr>
                  <w:tcW w:w="451" w:type="pct"/>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地面防护</w:t>
                  </w:r>
                </w:p>
              </w:tc>
              <w:tc>
                <w:tcPr>
                  <w:tcW w:w="345"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757" w:type="pct"/>
                  <w:vAlign w:val="center"/>
                </w:tcPr>
                <w:p>
                  <w:pPr>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废油漆、棉布</w:t>
                  </w:r>
                </w:p>
              </w:tc>
              <w:tc>
                <w:tcPr>
                  <w:tcW w:w="308"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每天</w:t>
                  </w:r>
                </w:p>
              </w:tc>
              <w:tc>
                <w:tcPr>
                  <w:tcW w:w="308"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308" w:type="pct"/>
                  <w:vMerge w:val="continue"/>
                  <w:vAlign w:val="center"/>
                </w:tcPr>
                <w:p>
                  <w:pPr>
                    <w:jc w:val="center"/>
                    <w:rPr>
                      <w:rFonts w:hint="default" w:ascii="Times New Roman" w:hAnsi="Times New Roman" w:cs="Times New Roman"/>
                      <w:color w:val="auto"/>
                      <w:kern w:val="2"/>
                      <w:sz w:val="21"/>
                      <w:szCs w:val="21"/>
                      <w:highlight w:val="none"/>
                    </w:rPr>
                  </w:pPr>
                </w:p>
              </w:tc>
              <w:tc>
                <w:tcPr>
                  <w:tcW w:w="386" w:type="pct"/>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t/a</w:t>
                  </w:r>
                </w:p>
              </w:tc>
              <w:tc>
                <w:tcPr>
                  <w:tcW w:w="386" w:type="pct"/>
                  <w:vMerge w:val="continue"/>
                  <w:vAlign w:val="center"/>
                </w:tcPr>
                <w:p>
                  <w:pPr>
                    <w:jc w:val="center"/>
                    <w:rPr>
                      <w:rFonts w:hint="default" w:ascii="Times New Roman" w:hAnsi="Times New Roman"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69" w:type="dxa"/>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w:t>
                  </w:r>
                </w:p>
              </w:tc>
              <w:tc>
                <w:tcPr>
                  <w:tcW w:w="491"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废活性炭</w:t>
                  </w:r>
                </w:p>
              </w:tc>
              <w:tc>
                <w:tcPr>
                  <w:tcW w:w="465" w:type="pct"/>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废气处理</w:t>
                  </w:r>
                </w:p>
              </w:tc>
              <w:tc>
                <w:tcPr>
                  <w:tcW w:w="586" w:type="pct"/>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HW49；900-0</w:t>
                  </w:r>
                  <w:r>
                    <w:rPr>
                      <w:rFonts w:hint="eastAsia" w:ascii="Times New Roman" w:hAnsi="Times New Roman" w:cs="Times New Roman"/>
                      <w:color w:val="auto"/>
                      <w:sz w:val="21"/>
                      <w:szCs w:val="21"/>
                      <w:highlight w:val="none"/>
                      <w:lang w:val="en-US" w:eastAsia="zh-CN"/>
                    </w:rPr>
                    <w:t>39</w:t>
                  </w:r>
                  <w:r>
                    <w:rPr>
                      <w:rFonts w:hint="default" w:ascii="Times New Roman" w:hAnsi="Times New Roman" w:cs="Times New Roman"/>
                      <w:color w:val="auto"/>
                      <w:sz w:val="21"/>
                      <w:szCs w:val="21"/>
                      <w:highlight w:val="none"/>
                    </w:rPr>
                    <w:t>-49</w:t>
                  </w:r>
                </w:p>
              </w:tc>
              <w:tc>
                <w:tcPr>
                  <w:tcW w:w="451" w:type="pct"/>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废气处理</w:t>
                  </w:r>
                </w:p>
              </w:tc>
              <w:tc>
                <w:tcPr>
                  <w:tcW w:w="345"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757" w:type="pct"/>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有机溶剂、活性炭</w:t>
                  </w:r>
                </w:p>
              </w:tc>
              <w:tc>
                <w:tcPr>
                  <w:tcW w:w="308" w:type="pct"/>
                  <w:vAlign w:val="center"/>
                </w:tcPr>
                <w:p>
                  <w:pPr>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每年</w:t>
                  </w:r>
                </w:p>
              </w:tc>
              <w:tc>
                <w:tcPr>
                  <w:tcW w:w="308"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308" w:type="pct"/>
                  <w:vMerge w:val="continue"/>
                  <w:vAlign w:val="center"/>
                </w:tcPr>
                <w:p>
                  <w:pPr>
                    <w:jc w:val="center"/>
                    <w:rPr>
                      <w:rFonts w:hint="default" w:ascii="Times New Roman" w:hAnsi="Times New Roman" w:cs="Times New Roman"/>
                      <w:color w:val="auto"/>
                      <w:kern w:val="2"/>
                      <w:sz w:val="21"/>
                      <w:szCs w:val="21"/>
                      <w:highlight w:val="none"/>
                    </w:rPr>
                  </w:pPr>
                </w:p>
              </w:tc>
              <w:tc>
                <w:tcPr>
                  <w:tcW w:w="386" w:type="pct"/>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t/a</w:t>
                  </w:r>
                </w:p>
              </w:tc>
              <w:tc>
                <w:tcPr>
                  <w:tcW w:w="386" w:type="pct"/>
                  <w:vMerge w:val="continue"/>
                  <w:vAlign w:val="center"/>
                </w:tcPr>
                <w:p>
                  <w:pPr>
                    <w:jc w:val="center"/>
                    <w:rPr>
                      <w:rFonts w:hint="default" w:ascii="Times New Roman" w:hAnsi="Times New Roman"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69" w:type="dxa"/>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9</w:t>
                  </w:r>
                </w:p>
              </w:tc>
              <w:tc>
                <w:tcPr>
                  <w:tcW w:w="491" w:type="pct"/>
                  <w:vAlign w:val="center"/>
                </w:tcPr>
                <w:p>
                  <w:pPr>
                    <w:spacing w:line="0" w:lineRule="atLeast"/>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废漆渣</w:t>
                  </w:r>
                </w:p>
              </w:tc>
              <w:tc>
                <w:tcPr>
                  <w:tcW w:w="465"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除漆雾</w:t>
                  </w:r>
                </w:p>
              </w:tc>
              <w:tc>
                <w:tcPr>
                  <w:tcW w:w="586" w:type="pct"/>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HW12，900-252-12</w:t>
                  </w:r>
                </w:p>
              </w:tc>
              <w:tc>
                <w:tcPr>
                  <w:tcW w:w="451"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除漆雾</w:t>
                  </w:r>
                </w:p>
              </w:tc>
              <w:tc>
                <w:tcPr>
                  <w:tcW w:w="345"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w:t>
                  </w:r>
                  <w:r>
                    <w:rPr>
                      <w:rFonts w:hint="eastAsia" w:cs="Times New Roman"/>
                      <w:color w:val="auto"/>
                      <w:sz w:val="21"/>
                      <w:szCs w:val="21"/>
                      <w:highlight w:val="none"/>
                      <w:lang w:val="en-US" w:eastAsia="zh-CN"/>
                    </w:rPr>
                    <w:t>态</w:t>
                  </w:r>
                </w:p>
              </w:tc>
              <w:tc>
                <w:tcPr>
                  <w:tcW w:w="757" w:type="pct"/>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废油漆</w:t>
                  </w:r>
                </w:p>
              </w:tc>
              <w:tc>
                <w:tcPr>
                  <w:tcW w:w="308"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每天</w:t>
                  </w:r>
                </w:p>
              </w:tc>
              <w:tc>
                <w:tcPr>
                  <w:tcW w:w="308"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308" w:type="pct"/>
                  <w:vMerge w:val="continue"/>
                  <w:vAlign w:val="center"/>
                </w:tcPr>
                <w:p>
                  <w:pPr>
                    <w:jc w:val="center"/>
                    <w:rPr>
                      <w:rFonts w:hint="default" w:ascii="Times New Roman" w:hAnsi="Times New Roman" w:cs="Times New Roman"/>
                      <w:color w:val="auto"/>
                      <w:kern w:val="2"/>
                      <w:sz w:val="21"/>
                      <w:szCs w:val="21"/>
                      <w:highlight w:val="none"/>
                    </w:rPr>
                  </w:pPr>
                </w:p>
              </w:tc>
              <w:tc>
                <w:tcPr>
                  <w:tcW w:w="386" w:type="pct"/>
                  <w:vAlign w:val="center"/>
                </w:tcPr>
                <w:p>
                  <w:pPr>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t/a</w:t>
                  </w:r>
                </w:p>
              </w:tc>
              <w:tc>
                <w:tcPr>
                  <w:tcW w:w="386" w:type="pct"/>
                  <w:vMerge w:val="continue"/>
                  <w:vAlign w:val="center"/>
                </w:tcPr>
                <w:p>
                  <w:pPr>
                    <w:rPr>
                      <w:rFonts w:hint="eastAsia" w:ascii="Times New Roman" w:hAnsi="Times New Roman" w:eastAsia="宋体" w:cs="Times New Roman"/>
                      <w:color w:val="auto"/>
                      <w:kern w:val="2"/>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3" w:type="pct"/>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10</w:t>
                  </w:r>
                </w:p>
              </w:tc>
              <w:tc>
                <w:tcPr>
                  <w:tcW w:w="491" w:type="pct"/>
                  <w:vAlign w:val="center"/>
                </w:tcPr>
                <w:p>
                  <w:pPr>
                    <w:spacing w:line="0" w:lineRule="atLeast"/>
                    <w:jc w:val="center"/>
                    <w:rPr>
                      <w:rFonts w:hint="default" w:ascii="Times New Roman" w:hAnsi="Times New Roman" w:cs="Times New Roman"/>
                      <w:bCs/>
                      <w:color w:val="auto"/>
                      <w:sz w:val="21"/>
                      <w:szCs w:val="21"/>
                      <w:highlight w:val="none"/>
                    </w:rPr>
                  </w:pPr>
                  <w:r>
                    <w:rPr>
                      <w:rFonts w:hint="eastAsia" w:cs="Times New Roman"/>
                      <w:color w:val="auto"/>
                      <w:sz w:val="21"/>
                      <w:szCs w:val="21"/>
                      <w:highlight w:val="none"/>
                      <w:lang w:val="en-US" w:eastAsia="zh-CN"/>
                    </w:rPr>
                    <w:t>水帘废水</w:t>
                  </w:r>
                </w:p>
              </w:tc>
              <w:tc>
                <w:tcPr>
                  <w:tcW w:w="465" w:type="pct"/>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除漆雾</w:t>
                  </w:r>
                </w:p>
              </w:tc>
              <w:tc>
                <w:tcPr>
                  <w:tcW w:w="586" w:type="pct"/>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HW12，900-252-12</w:t>
                  </w:r>
                </w:p>
              </w:tc>
              <w:tc>
                <w:tcPr>
                  <w:tcW w:w="451" w:type="pct"/>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除漆雾</w:t>
                  </w:r>
                </w:p>
              </w:tc>
              <w:tc>
                <w:tcPr>
                  <w:tcW w:w="345"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液态</w:t>
                  </w:r>
                </w:p>
              </w:tc>
              <w:tc>
                <w:tcPr>
                  <w:tcW w:w="757" w:type="pct"/>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油漆、水</w:t>
                  </w:r>
                </w:p>
              </w:tc>
              <w:tc>
                <w:tcPr>
                  <w:tcW w:w="308"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每天</w:t>
                  </w:r>
                </w:p>
              </w:tc>
              <w:tc>
                <w:tcPr>
                  <w:tcW w:w="308" w:type="pct"/>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T/In</w:t>
                  </w:r>
                </w:p>
              </w:tc>
              <w:tc>
                <w:tcPr>
                  <w:tcW w:w="308" w:type="pct"/>
                  <w:vMerge w:val="continue"/>
                  <w:vAlign w:val="center"/>
                </w:tcPr>
                <w:p>
                  <w:pPr>
                    <w:jc w:val="center"/>
                    <w:rPr>
                      <w:rFonts w:hint="default" w:ascii="Times New Roman" w:hAnsi="Times New Roman" w:cs="Times New Roman"/>
                      <w:color w:val="auto"/>
                      <w:kern w:val="2"/>
                      <w:sz w:val="21"/>
                      <w:szCs w:val="21"/>
                      <w:highlight w:val="none"/>
                    </w:rPr>
                  </w:pPr>
                </w:p>
              </w:tc>
              <w:tc>
                <w:tcPr>
                  <w:tcW w:w="386" w:type="pct"/>
                  <w:vAlign w:val="center"/>
                </w:tcPr>
                <w:p>
                  <w:pPr>
                    <w:spacing w:line="0" w:lineRule="atLeast"/>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t/a</w:t>
                  </w:r>
                </w:p>
              </w:tc>
              <w:tc>
                <w:tcPr>
                  <w:tcW w:w="386" w:type="pct"/>
                  <w:vMerge w:val="continue"/>
                  <w:vAlign w:val="center"/>
                </w:tcPr>
                <w:p>
                  <w:pPr>
                    <w:rPr>
                      <w:rFonts w:hint="default" w:ascii="Times New Roman" w:hAnsi="Times New Roman" w:cs="Times New Roman"/>
                      <w:color w:val="auto"/>
                      <w:kern w:val="2"/>
                      <w:sz w:val="21"/>
                      <w:szCs w:val="21"/>
                      <w:highlight w:val="none"/>
                    </w:rPr>
                  </w:pPr>
                </w:p>
              </w:tc>
            </w:tr>
          </w:tbl>
          <w:p>
            <w:pPr>
              <w:spacing w:line="360" w:lineRule="auto"/>
              <w:ind w:firstLine="480" w:firstLineChars="200"/>
              <w:jc w:val="left"/>
              <w:rPr>
                <w:rFonts w:hint="default"/>
                <w:color w:val="auto"/>
                <w:highlight w:val="none"/>
              </w:rPr>
            </w:pPr>
            <w:r>
              <w:rPr>
                <w:rFonts w:hint="default" w:ascii="Times New Roman" w:hAnsi="Times New Roman" w:cs="Times New Roman"/>
                <w:color w:val="auto"/>
                <w:highlight w:val="none"/>
              </w:rPr>
              <w:t>本项目危险废物贮存场</w:t>
            </w:r>
            <w:r>
              <w:rPr>
                <w:rFonts w:hint="default" w:ascii="Times New Roman" w:hAnsi="Times New Roman" w:cs="Times New Roman"/>
                <w:color w:val="auto"/>
                <w:kern w:val="2"/>
                <w:highlight w:val="none"/>
              </w:rPr>
              <w:t>所（设施）基本情况详见下表。</w:t>
            </w:r>
          </w:p>
          <w:p>
            <w:pPr>
              <w:autoSpaceDE w:val="0"/>
              <w:autoSpaceDN w:val="0"/>
              <w:jc w:val="center"/>
              <w:textAlignment w:val="bottom"/>
              <w:rPr>
                <w:rFonts w:hint="default" w:ascii="Times New Roman" w:hAnsi="Times New Roman" w:cs="Times New Roman"/>
                <w:b/>
                <w:color w:val="auto"/>
                <w:kern w:val="2"/>
                <w:sz w:val="21"/>
                <w:szCs w:val="21"/>
                <w:highlight w:val="none"/>
              </w:rPr>
            </w:pPr>
            <w:r>
              <w:rPr>
                <w:rFonts w:hint="default" w:ascii="Times New Roman" w:hAnsi="Times New Roman" w:cs="Times New Roman"/>
                <w:b/>
                <w:color w:val="auto"/>
                <w:kern w:val="2"/>
                <w:sz w:val="21"/>
                <w:szCs w:val="21"/>
                <w:highlight w:val="none"/>
              </w:rPr>
              <w:t>表4-3</w:t>
            </w:r>
            <w:r>
              <w:rPr>
                <w:rFonts w:hint="eastAsia" w:cs="Times New Roman"/>
                <w:b/>
                <w:color w:val="auto"/>
                <w:kern w:val="2"/>
                <w:sz w:val="21"/>
                <w:szCs w:val="21"/>
                <w:highlight w:val="none"/>
                <w:lang w:val="en-US" w:eastAsia="zh-CN"/>
              </w:rPr>
              <w:t>2</w:t>
            </w:r>
            <w:r>
              <w:rPr>
                <w:rFonts w:hint="default" w:ascii="Times New Roman" w:hAnsi="Times New Roman" w:cs="Times New Roman"/>
                <w:b/>
                <w:color w:val="auto"/>
                <w:kern w:val="2"/>
                <w:sz w:val="21"/>
                <w:szCs w:val="21"/>
                <w:highlight w:val="none"/>
              </w:rPr>
              <w:t xml:space="preserve">  危险废物暂存间基本情况一览表</w:t>
            </w:r>
          </w:p>
          <w:tbl>
            <w:tblPr>
              <w:tblStyle w:val="2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37"/>
              <w:gridCol w:w="540"/>
              <w:gridCol w:w="797"/>
              <w:gridCol w:w="835"/>
              <w:gridCol w:w="1324"/>
              <w:gridCol w:w="340"/>
              <w:gridCol w:w="810"/>
              <w:gridCol w:w="619"/>
              <w:gridCol w:w="801"/>
              <w:gridCol w:w="766"/>
              <w:gridCol w:w="625"/>
              <w:gridCol w:w="658"/>
              <w:gridCol w:w="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9" w:type="pct"/>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序号</w:t>
                  </w:r>
                </w:p>
              </w:tc>
              <w:tc>
                <w:tcPr>
                  <w:tcW w:w="301"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贮存场所名称</w:t>
                  </w:r>
                </w:p>
              </w:tc>
              <w:tc>
                <w:tcPr>
                  <w:tcW w:w="442"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危险废物名称</w:t>
                  </w:r>
                </w:p>
              </w:tc>
              <w:tc>
                <w:tcPr>
                  <w:tcW w:w="463"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危险废物类别</w:t>
                  </w:r>
                </w:p>
              </w:tc>
              <w:tc>
                <w:tcPr>
                  <w:tcW w:w="732"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危险废物</w:t>
                  </w:r>
                </w:p>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代码</w:t>
                  </w:r>
                </w:p>
              </w:tc>
              <w:tc>
                <w:tcPr>
                  <w:tcW w:w="191"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位置</w:t>
                  </w:r>
                </w:p>
              </w:tc>
              <w:tc>
                <w:tcPr>
                  <w:tcW w:w="449"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占地面积（m</w:t>
                  </w:r>
                  <w:r>
                    <w:rPr>
                      <w:rFonts w:hint="default" w:ascii="Times New Roman" w:hAnsi="Times New Roman" w:cs="Times New Roman"/>
                      <w:color w:val="auto"/>
                      <w:kern w:val="2"/>
                      <w:sz w:val="21"/>
                      <w:szCs w:val="21"/>
                      <w:highlight w:val="none"/>
                      <w:vertAlign w:val="superscript"/>
                    </w:rPr>
                    <w:t>2</w:t>
                  </w:r>
                  <w:r>
                    <w:rPr>
                      <w:rFonts w:hint="default" w:ascii="Times New Roman" w:hAnsi="Times New Roman" w:cs="Times New Roman"/>
                      <w:color w:val="auto"/>
                      <w:kern w:val="2"/>
                      <w:sz w:val="21"/>
                      <w:szCs w:val="21"/>
                      <w:highlight w:val="none"/>
                    </w:rPr>
                    <w:t>）</w:t>
                  </w:r>
                </w:p>
              </w:tc>
              <w:tc>
                <w:tcPr>
                  <w:tcW w:w="344"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贮存方式</w:t>
                  </w:r>
                </w:p>
              </w:tc>
              <w:tc>
                <w:tcPr>
                  <w:tcW w:w="444"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年产生量（t）</w:t>
                  </w:r>
                </w:p>
              </w:tc>
              <w:tc>
                <w:tcPr>
                  <w:tcW w:w="379"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占用面积（m</w:t>
                  </w:r>
                  <w:r>
                    <w:rPr>
                      <w:rFonts w:hint="default" w:ascii="Times New Roman" w:hAnsi="Times New Roman" w:cs="Times New Roman"/>
                      <w:color w:val="auto"/>
                      <w:kern w:val="2"/>
                      <w:sz w:val="21"/>
                      <w:szCs w:val="21"/>
                      <w:highlight w:val="none"/>
                      <w:vertAlign w:val="superscript"/>
                    </w:rPr>
                    <w:t>2</w:t>
                  </w:r>
                  <w:r>
                    <w:rPr>
                      <w:rFonts w:hint="default" w:ascii="Times New Roman" w:hAnsi="Times New Roman" w:cs="Times New Roman"/>
                      <w:color w:val="auto"/>
                      <w:kern w:val="2"/>
                      <w:sz w:val="21"/>
                      <w:szCs w:val="21"/>
                      <w:highlight w:val="none"/>
                    </w:rPr>
                    <w:t>）</w:t>
                  </w:r>
                </w:p>
              </w:tc>
              <w:tc>
                <w:tcPr>
                  <w:tcW w:w="347"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贮存能力（t）</w:t>
                  </w:r>
                </w:p>
              </w:tc>
              <w:tc>
                <w:tcPr>
                  <w:tcW w:w="365"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贮存周期</w:t>
                  </w:r>
                </w:p>
              </w:tc>
              <w:tc>
                <w:tcPr>
                  <w:tcW w:w="347" w:type="pct"/>
                  <w:tcBorders>
                    <w:top w:val="single" w:color="auto" w:sz="4" w:space="0"/>
                    <w:left w:val="nil"/>
                    <w:bottom w:val="single" w:color="auto" w:sz="4" w:space="0"/>
                    <w:right w:val="single" w:color="auto" w:sz="4" w:space="0"/>
                  </w:tcBorders>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年最大暂存量（t）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1</w:t>
                  </w:r>
                </w:p>
              </w:tc>
              <w:tc>
                <w:tcPr>
                  <w:tcW w:w="301" w:type="pct"/>
                  <w:vMerge w:val="restart"/>
                  <w:tcBorders>
                    <w:top w:val="nil"/>
                    <w:left w:val="nil"/>
                    <w:right w:val="single" w:color="auto" w:sz="4" w:space="0"/>
                  </w:tcBorders>
                  <w:vAlign w:val="center"/>
                </w:tcPr>
                <w:p>
                  <w:pPr>
                    <w:topLinePunct/>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危险废物暂存间</w:t>
                  </w:r>
                </w:p>
              </w:tc>
              <w:tc>
                <w:tcPr>
                  <w:tcW w:w="442" w:type="pct"/>
                  <w:tcBorders>
                    <w:top w:val="single" w:color="auto" w:sz="4" w:space="0"/>
                    <w:left w:val="nil"/>
                    <w:bottom w:val="single" w:color="auto" w:sz="4" w:space="0"/>
                    <w:right w:val="single" w:color="auto" w:sz="4" w:space="0"/>
                  </w:tcBorders>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废漆料桶</w:t>
                  </w:r>
                </w:p>
              </w:tc>
              <w:tc>
                <w:tcPr>
                  <w:tcW w:w="463"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HW49</w:t>
                  </w:r>
                </w:p>
              </w:tc>
              <w:tc>
                <w:tcPr>
                  <w:tcW w:w="732"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900-041-49</w:t>
                  </w:r>
                </w:p>
              </w:tc>
              <w:tc>
                <w:tcPr>
                  <w:tcW w:w="191" w:type="pct"/>
                  <w:vMerge w:val="restart"/>
                  <w:tcBorders>
                    <w:top w:val="nil"/>
                    <w:left w:val="nil"/>
                    <w:right w:val="single" w:color="auto" w:sz="4" w:space="0"/>
                  </w:tcBorders>
                  <w:vAlign w:val="center"/>
                </w:tcPr>
                <w:p>
                  <w:pPr>
                    <w:topLinePunct/>
                    <w:adjustRightInd w:val="0"/>
                    <w:snapToGrid w:val="0"/>
                    <w:contextualSpacing/>
                    <w:jc w:val="center"/>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生产</w:t>
                  </w:r>
                  <w:r>
                    <w:rPr>
                      <w:rFonts w:hint="default" w:ascii="Times New Roman" w:hAnsi="Times New Roman" w:cs="Times New Roman"/>
                      <w:color w:val="auto"/>
                      <w:kern w:val="2"/>
                      <w:sz w:val="21"/>
                      <w:szCs w:val="21"/>
                      <w:highlight w:val="none"/>
                    </w:rPr>
                    <w:t>车间</w:t>
                  </w:r>
                  <w:r>
                    <w:rPr>
                      <w:rFonts w:hint="eastAsia" w:cs="Times New Roman"/>
                      <w:color w:val="auto"/>
                      <w:kern w:val="2"/>
                      <w:sz w:val="21"/>
                      <w:szCs w:val="21"/>
                      <w:highlight w:val="none"/>
                      <w:lang w:val="en-US" w:eastAsia="zh-CN"/>
                    </w:rPr>
                    <w:t>1</w:t>
                  </w:r>
                  <w:r>
                    <w:rPr>
                      <w:rFonts w:hint="default" w:ascii="Times New Roman" w:hAnsi="Times New Roman" w:cs="Times New Roman"/>
                      <w:color w:val="auto"/>
                      <w:kern w:val="2"/>
                      <w:sz w:val="21"/>
                      <w:szCs w:val="21"/>
                      <w:highlight w:val="none"/>
                    </w:rPr>
                    <w:t>内</w:t>
                  </w:r>
                </w:p>
              </w:tc>
              <w:tc>
                <w:tcPr>
                  <w:tcW w:w="449" w:type="pct"/>
                  <w:vMerge w:val="restart"/>
                  <w:tcBorders>
                    <w:top w:val="nil"/>
                    <w:left w:val="nil"/>
                    <w:right w:val="single" w:color="auto" w:sz="4" w:space="0"/>
                  </w:tcBorders>
                  <w:vAlign w:val="center"/>
                </w:tcPr>
                <w:p>
                  <w:pPr>
                    <w:topLinePunct/>
                    <w:adjustRightInd w:val="0"/>
                    <w:snapToGrid w:val="0"/>
                    <w:contextualSpacing/>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30</w:t>
                  </w:r>
                </w:p>
              </w:tc>
              <w:tc>
                <w:tcPr>
                  <w:tcW w:w="344" w:type="pct"/>
                  <w:tcBorders>
                    <w:top w:val="single" w:color="auto" w:sz="4" w:space="0"/>
                    <w:left w:val="nil"/>
                    <w:bottom w:val="single" w:color="auto" w:sz="4" w:space="0"/>
                    <w:right w:val="single" w:color="auto" w:sz="4" w:space="0"/>
                  </w:tcBorders>
                  <w:vAlign w:val="center"/>
                </w:tcPr>
                <w:p>
                  <w:pPr>
                    <w:topLinePunct/>
                    <w:adjustRightInd w:val="0"/>
                    <w:snapToGrid w:val="0"/>
                    <w:contextualSpacing/>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托盘</w:t>
                  </w:r>
                </w:p>
              </w:tc>
              <w:tc>
                <w:tcPr>
                  <w:tcW w:w="444" w:type="pct"/>
                  <w:tcBorders>
                    <w:top w:val="nil"/>
                    <w:left w:val="nil"/>
                    <w:right w:val="single" w:color="auto" w:sz="4" w:space="0"/>
                  </w:tcBorders>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w:t>
                  </w:r>
                </w:p>
              </w:tc>
              <w:tc>
                <w:tcPr>
                  <w:tcW w:w="379" w:type="pct"/>
                  <w:tcBorders>
                    <w:top w:val="nil"/>
                    <w:left w:val="nil"/>
                    <w:right w:val="single" w:color="auto" w:sz="4" w:space="0"/>
                  </w:tcBorders>
                  <w:vAlign w:val="center"/>
                </w:tcPr>
                <w:p>
                  <w:pPr>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347" w:type="pct"/>
                  <w:tcBorders>
                    <w:top w:val="nil"/>
                    <w:left w:val="nil"/>
                    <w:right w:val="single" w:color="auto" w:sz="4" w:space="0"/>
                  </w:tcBorders>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1</w:t>
                  </w:r>
                </w:p>
              </w:tc>
              <w:tc>
                <w:tcPr>
                  <w:tcW w:w="365" w:type="pct"/>
                  <w:tcBorders>
                    <w:top w:val="nil"/>
                    <w:left w:val="nil"/>
                    <w:right w:val="single" w:color="auto" w:sz="4" w:space="0"/>
                  </w:tcBorders>
                  <w:vAlign w:val="center"/>
                </w:tcPr>
                <w:p>
                  <w:pPr>
                    <w:topLinePunct/>
                    <w:adjustRightInd w:val="0"/>
                    <w:snapToGrid w:val="0"/>
                    <w:contextualSpacing/>
                    <w:jc w:val="center"/>
                    <w:rPr>
                      <w:rFonts w:hint="eastAsia" w:ascii="Times New Roman" w:hAnsi="Times New Roman" w:eastAsia="宋体" w:cs="Times New Roman"/>
                      <w:color w:val="auto"/>
                      <w:kern w:val="2"/>
                      <w:sz w:val="21"/>
                      <w:szCs w:val="21"/>
                      <w:highlight w:val="none"/>
                      <w:lang w:eastAsia="zh-CN"/>
                    </w:rPr>
                  </w:pPr>
                  <w:r>
                    <w:rPr>
                      <w:rFonts w:hint="eastAsia" w:cs="Times New Roman"/>
                      <w:color w:val="auto"/>
                      <w:kern w:val="2"/>
                      <w:sz w:val="21"/>
                      <w:szCs w:val="21"/>
                      <w:highlight w:val="none"/>
                      <w:lang w:val="en-US" w:eastAsia="zh-CN"/>
                    </w:rPr>
                    <w:t>三个月</w:t>
                  </w:r>
                </w:p>
              </w:tc>
              <w:tc>
                <w:tcPr>
                  <w:tcW w:w="347" w:type="pct"/>
                  <w:tcBorders>
                    <w:top w:val="nil"/>
                    <w:left w:val="nil"/>
                    <w:right w:val="single" w:color="auto" w:sz="4" w:space="0"/>
                  </w:tcBorders>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2</w:t>
                  </w:r>
                </w:p>
              </w:tc>
              <w:tc>
                <w:tcPr>
                  <w:tcW w:w="30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2" w:type="pct"/>
                  <w:tcBorders>
                    <w:top w:val="single" w:color="auto" w:sz="4" w:space="0"/>
                    <w:left w:val="nil"/>
                    <w:bottom w:val="single" w:color="auto" w:sz="4" w:space="0"/>
                    <w:right w:val="single" w:color="auto" w:sz="4" w:space="0"/>
                  </w:tcBorders>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废油</w:t>
                  </w:r>
                </w:p>
              </w:tc>
              <w:tc>
                <w:tcPr>
                  <w:tcW w:w="463"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HW08</w:t>
                  </w:r>
                </w:p>
              </w:tc>
              <w:tc>
                <w:tcPr>
                  <w:tcW w:w="732"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900-214-08</w:t>
                  </w:r>
                </w:p>
              </w:tc>
              <w:tc>
                <w:tcPr>
                  <w:tcW w:w="19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9"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344" w:type="pct"/>
                  <w:tcBorders>
                    <w:top w:val="single" w:color="auto" w:sz="4" w:space="0"/>
                    <w:left w:val="nil"/>
                    <w:right w:val="single" w:color="auto" w:sz="4" w:space="0"/>
                  </w:tcBorders>
                  <w:vAlign w:val="center"/>
                </w:tcPr>
                <w:p>
                  <w:pPr>
                    <w:topLinePunct/>
                    <w:adjustRightInd w:val="0"/>
                    <w:snapToGrid w:val="0"/>
                    <w:contextualSpacing/>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200L铁桶</w:t>
                  </w:r>
                </w:p>
              </w:tc>
              <w:tc>
                <w:tcPr>
                  <w:tcW w:w="444" w:type="pct"/>
                  <w:tcBorders>
                    <w:left w:val="nil"/>
                    <w:right w:val="single" w:color="auto" w:sz="4" w:space="0"/>
                  </w:tcBorders>
                  <w:vAlign w:val="center"/>
                </w:tcPr>
                <w:p>
                  <w:pPr>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379"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347"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0.1</w:t>
                  </w:r>
                </w:p>
              </w:tc>
              <w:tc>
                <w:tcPr>
                  <w:tcW w:w="365" w:type="pct"/>
                  <w:tcBorders>
                    <w:left w:val="nil"/>
                    <w:right w:val="single" w:color="auto" w:sz="4" w:space="0"/>
                  </w:tcBorders>
                  <w:vAlign w:val="center"/>
                </w:tcPr>
                <w:p>
                  <w:pPr>
                    <w:widowControl/>
                    <w:jc w:val="center"/>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三个月</w:t>
                  </w:r>
                </w:p>
              </w:tc>
              <w:tc>
                <w:tcPr>
                  <w:tcW w:w="347" w:type="pct"/>
                  <w:tcBorders>
                    <w:left w:val="nil"/>
                    <w:right w:val="single" w:color="auto" w:sz="4" w:space="0"/>
                  </w:tcBorders>
                  <w:vAlign w:val="center"/>
                </w:tcPr>
                <w:p>
                  <w:pPr>
                    <w:spacing w:line="0" w:lineRule="atLeast"/>
                    <w:jc w:val="center"/>
                    <w:rPr>
                      <w:rFonts w:hint="default" w:ascii="Times New Roman" w:hAnsi="Times New Roman" w:cs="Times New Roman"/>
                      <w:color w:val="auto"/>
                      <w:kern w:val="2"/>
                      <w:sz w:val="21"/>
                      <w:szCs w:val="21"/>
                      <w:highlight w:val="none"/>
                      <w:lang w:val="en-US"/>
                    </w:rPr>
                  </w:pPr>
                  <w:r>
                    <w:rPr>
                      <w:rFonts w:hint="eastAsia" w:cs="Times New Roman"/>
                      <w:color w:val="auto"/>
                      <w:kern w:val="2"/>
                      <w:sz w:val="21"/>
                      <w:szCs w:val="21"/>
                      <w:highlight w:val="none"/>
                      <w:lang w:val="en-US" w:eastAsia="zh-CN"/>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w:t>
                  </w:r>
                </w:p>
              </w:tc>
              <w:tc>
                <w:tcPr>
                  <w:tcW w:w="30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2" w:type="pct"/>
                  <w:tcBorders>
                    <w:top w:val="single" w:color="auto" w:sz="4" w:space="0"/>
                    <w:left w:val="nil"/>
                    <w:bottom w:val="single" w:color="auto" w:sz="4" w:space="0"/>
                    <w:right w:val="single" w:color="auto" w:sz="4" w:space="0"/>
                  </w:tcBorders>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废油桶</w:t>
                  </w:r>
                </w:p>
              </w:tc>
              <w:tc>
                <w:tcPr>
                  <w:tcW w:w="463"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HW08</w:t>
                  </w:r>
                </w:p>
              </w:tc>
              <w:tc>
                <w:tcPr>
                  <w:tcW w:w="732"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900-2</w:t>
                  </w:r>
                  <w:r>
                    <w:rPr>
                      <w:rFonts w:hint="eastAsia" w:cs="Times New Roman"/>
                      <w:color w:val="auto"/>
                      <w:sz w:val="21"/>
                      <w:szCs w:val="21"/>
                      <w:highlight w:val="none"/>
                      <w:lang w:val="en-US" w:eastAsia="zh-CN"/>
                    </w:rPr>
                    <w:t>49</w:t>
                  </w:r>
                  <w:r>
                    <w:rPr>
                      <w:rFonts w:hint="default" w:ascii="Times New Roman" w:hAnsi="Times New Roman" w:cs="Times New Roman"/>
                      <w:color w:val="auto"/>
                      <w:sz w:val="21"/>
                      <w:szCs w:val="21"/>
                      <w:highlight w:val="none"/>
                    </w:rPr>
                    <w:t>-08</w:t>
                  </w:r>
                </w:p>
              </w:tc>
              <w:tc>
                <w:tcPr>
                  <w:tcW w:w="19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9"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344" w:type="pct"/>
                  <w:tcBorders>
                    <w:top w:val="single" w:color="auto" w:sz="4" w:space="0"/>
                    <w:left w:val="nil"/>
                    <w:right w:val="single" w:color="auto" w:sz="4" w:space="0"/>
                  </w:tcBorders>
                  <w:vAlign w:val="center"/>
                </w:tcPr>
                <w:p>
                  <w:pPr>
                    <w:topLinePunct/>
                    <w:adjustRightInd w:val="0"/>
                    <w:snapToGrid w:val="0"/>
                    <w:contextualSpacing/>
                    <w:jc w:val="center"/>
                    <w:rPr>
                      <w:rFonts w:hint="eastAsia"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托盘</w:t>
                  </w:r>
                </w:p>
              </w:tc>
              <w:tc>
                <w:tcPr>
                  <w:tcW w:w="444" w:type="pct"/>
                  <w:tcBorders>
                    <w:left w:val="nil"/>
                    <w:right w:val="single" w:color="auto" w:sz="4" w:space="0"/>
                  </w:tcBorders>
                  <w:vAlign w:val="center"/>
                </w:tcPr>
                <w:p>
                  <w:pPr>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p>
              </w:tc>
              <w:tc>
                <w:tcPr>
                  <w:tcW w:w="379" w:type="pct"/>
                  <w:tcBorders>
                    <w:left w:val="nil"/>
                    <w:right w:val="single" w:color="auto" w:sz="4" w:space="0"/>
                  </w:tcBorders>
                  <w:vAlign w:val="center"/>
                </w:tcPr>
                <w:p>
                  <w:pPr>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347" w:type="pct"/>
                  <w:tcBorders>
                    <w:left w:val="nil"/>
                    <w:right w:val="single" w:color="auto" w:sz="4" w:space="0"/>
                  </w:tcBorders>
                  <w:vAlign w:val="center"/>
                </w:tcPr>
                <w:p>
                  <w:pPr>
                    <w:spacing w:line="0" w:lineRule="atLeast"/>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0.1</w:t>
                  </w:r>
                </w:p>
              </w:tc>
              <w:tc>
                <w:tcPr>
                  <w:tcW w:w="365" w:type="pct"/>
                  <w:tcBorders>
                    <w:left w:val="nil"/>
                    <w:right w:val="single" w:color="auto" w:sz="4" w:space="0"/>
                  </w:tcBorders>
                  <w:vAlign w:val="center"/>
                </w:tcPr>
                <w:p>
                  <w:pPr>
                    <w:widowControl/>
                    <w:jc w:val="center"/>
                    <w:rPr>
                      <w:rFonts w:hint="eastAsia"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三个月</w:t>
                  </w:r>
                </w:p>
              </w:tc>
              <w:tc>
                <w:tcPr>
                  <w:tcW w:w="347" w:type="pct"/>
                  <w:tcBorders>
                    <w:left w:val="nil"/>
                    <w:right w:val="single" w:color="auto" w:sz="4" w:space="0"/>
                  </w:tcBorders>
                  <w:vAlign w:val="center"/>
                </w:tcPr>
                <w:p>
                  <w:pPr>
                    <w:spacing w:line="0" w:lineRule="atLeast"/>
                    <w:jc w:val="center"/>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w:t>
                  </w:r>
                </w:p>
              </w:tc>
              <w:tc>
                <w:tcPr>
                  <w:tcW w:w="30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2" w:type="pct"/>
                  <w:tcBorders>
                    <w:top w:val="single" w:color="auto" w:sz="4" w:space="0"/>
                    <w:left w:val="nil"/>
                    <w:bottom w:val="single" w:color="auto" w:sz="4" w:space="0"/>
                    <w:right w:val="single" w:color="auto" w:sz="4" w:space="0"/>
                  </w:tcBorders>
                  <w:vAlign w:val="center"/>
                </w:tcPr>
                <w:p>
                  <w:pPr>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废切削液</w:t>
                  </w:r>
                </w:p>
              </w:tc>
              <w:tc>
                <w:tcPr>
                  <w:tcW w:w="463"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HW</w:t>
                  </w:r>
                  <w:r>
                    <w:rPr>
                      <w:rFonts w:hint="eastAsia" w:cs="Times New Roman"/>
                      <w:color w:val="auto"/>
                      <w:sz w:val="21"/>
                      <w:szCs w:val="21"/>
                      <w:highlight w:val="none"/>
                      <w:lang w:val="en-US" w:eastAsia="zh-CN"/>
                    </w:rPr>
                    <w:t>0</w:t>
                  </w:r>
                  <w:r>
                    <w:rPr>
                      <w:rFonts w:hint="default" w:ascii="Times New Roman" w:hAnsi="Times New Roman" w:cs="Times New Roman"/>
                      <w:color w:val="auto"/>
                      <w:sz w:val="21"/>
                      <w:szCs w:val="21"/>
                      <w:highlight w:val="none"/>
                    </w:rPr>
                    <w:t>9</w:t>
                  </w:r>
                </w:p>
              </w:tc>
              <w:tc>
                <w:tcPr>
                  <w:tcW w:w="732"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900-006-09</w:t>
                  </w:r>
                </w:p>
              </w:tc>
              <w:tc>
                <w:tcPr>
                  <w:tcW w:w="19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9"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344" w:type="pct"/>
                  <w:tcBorders>
                    <w:left w:val="nil"/>
                    <w:bottom w:val="single" w:color="auto" w:sz="4" w:space="0"/>
                    <w:right w:val="single" w:color="auto" w:sz="4" w:space="0"/>
                  </w:tcBorders>
                  <w:vAlign w:val="center"/>
                </w:tcPr>
                <w:p>
                  <w:pPr>
                    <w:topLinePunct/>
                    <w:adjustRightInd w:val="0"/>
                    <w:snapToGrid w:val="0"/>
                    <w:contextualSpacing/>
                    <w:jc w:val="center"/>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200L铁桶、托盘</w:t>
                  </w:r>
                </w:p>
              </w:tc>
              <w:tc>
                <w:tcPr>
                  <w:tcW w:w="444"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3.15</w:t>
                  </w:r>
                </w:p>
              </w:tc>
              <w:tc>
                <w:tcPr>
                  <w:tcW w:w="379" w:type="pct"/>
                  <w:tcBorders>
                    <w:left w:val="nil"/>
                    <w:right w:val="single" w:color="auto" w:sz="4" w:space="0"/>
                  </w:tcBorders>
                  <w:vAlign w:val="center"/>
                </w:tcPr>
                <w:p>
                  <w:pPr>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347" w:type="pct"/>
                  <w:tcBorders>
                    <w:left w:val="nil"/>
                    <w:right w:val="single" w:color="auto" w:sz="4" w:space="0"/>
                  </w:tcBorders>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w:t>
                  </w:r>
                </w:p>
              </w:tc>
              <w:tc>
                <w:tcPr>
                  <w:tcW w:w="365" w:type="pct"/>
                  <w:tcBorders>
                    <w:left w:val="nil"/>
                    <w:right w:val="single" w:color="auto" w:sz="4" w:space="0"/>
                  </w:tcBorders>
                  <w:vAlign w:val="center"/>
                </w:tcPr>
                <w:p>
                  <w:pPr>
                    <w:widowControl/>
                    <w:jc w:val="center"/>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三个月</w:t>
                  </w:r>
                </w:p>
              </w:tc>
              <w:tc>
                <w:tcPr>
                  <w:tcW w:w="347"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w:t>
                  </w:r>
                </w:p>
              </w:tc>
              <w:tc>
                <w:tcPr>
                  <w:tcW w:w="30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2" w:type="pct"/>
                  <w:tcBorders>
                    <w:top w:val="single" w:color="auto" w:sz="4" w:space="0"/>
                    <w:left w:val="nil"/>
                    <w:bottom w:val="single" w:color="auto" w:sz="4" w:space="0"/>
                    <w:right w:val="single" w:color="auto" w:sz="4" w:space="0"/>
                  </w:tcBorders>
                  <w:vAlign w:val="center"/>
                </w:tcPr>
                <w:p>
                  <w:pPr>
                    <w:spacing w:line="0" w:lineRule="atLeast"/>
                    <w:jc w:val="center"/>
                    <w:rPr>
                      <w:rFonts w:hint="default" w:ascii="Times New Roman" w:hAnsi="Times New Roman" w:cs="Times New Roman"/>
                      <w:color w:val="auto"/>
                      <w:sz w:val="21"/>
                      <w:szCs w:val="21"/>
                      <w:highlight w:val="none"/>
                      <w:lang w:val="en-GB"/>
                    </w:rPr>
                  </w:pPr>
                  <w:r>
                    <w:rPr>
                      <w:rFonts w:hint="default" w:ascii="Times New Roman" w:hAnsi="Times New Roman" w:cs="Times New Roman"/>
                      <w:color w:val="auto"/>
                      <w:sz w:val="21"/>
                      <w:szCs w:val="21"/>
                      <w:highlight w:val="none"/>
                    </w:rPr>
                    <w:t>废过滤棉</w:t>
                  </w:r>
                </w:p>
              </w:tc>
              <w:tc>
                <w:tcPr>
                  <w:tcW w:w="463"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sz w:val="21"/>
                      <w:szCs w:val="21"/>
                      <w:highlight w:val="none"/>
                      <w:lang w:val="en-US" w:eastAsia="zh-CN"/>
                    </w:rPr>
                    <w:t>H</w:t>
                  </w:r>
                  <w:r>
                    <w:rPr>
                      <w:rFonts w:hint="default" w:ascii="Times New Roman" w:hAnsi="Times New Roman" w:cs="Times New Roman"/>
                      <w:color w:val="auto"/>
                      <w:sz w:val="21"/>
                      <w:szCs w:val="21"/>
                      <w:highlight w:val="none"/>
                    </w:rPr>
                    <w:t>W49</w:t>
                  </w:r>
                </w:p>
              </w:tc>
              <w:tc>
                <w:tcPr>
                  <w:tcW w:w="732"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H900-041-49</w:t>
                  </w:r>
                </w:p>
              </w:tc>
              <w:tc>
                <w:tcPr>
                  <w:tcW w:w="19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9"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344" w:type="pct"/>
                  <w:tcBorders>
                    <w:top w:val="single" w:color="auto" w:sz="4" w:space="0"/>
                    <w:left w:val="nil"/>
                    <w:bottom w:val="single" w:color="auto" w:sz="4" w:space="0"/>
                    <w:right w:val="single" w:color="auto" w:sz="4" w:space="0"/>
                  </w:tcBorders>
                  <w:vAlign w:val="center"/>
                </w:tcPr>
                <w:p>
                  <w:pPr>
                    <w:topLinePunct/>
                    <w:adjustRightInd w:val="0"/>
                    <w:snapToGrid w:val="0"/>
                    <w:contextualSpacing/>
                    <w:jc w:val="center"/>
                    <w:rPr>
                      <w:rFonts w:hint="eastAsia" w:ascii="Times New Roman" w:hAnsi="Times New Roman" w:eastAsia="宋体" w:cs="Times New Roman"/>
                      <w:color w:val="auto"/>
                      <w:kern w:val="2"/>
                      <w:sz w:val="21"/>
                      <w:szCs w:val="21"/>
                      <w:highlight w:val="none"/>
                      <w:lang w:eastAsia="zh-CN"/>
                    </w:rPr>
                  </w:pPr>
                  <w:r>
                    <w:rPr>
                      <w:rFonts w:hint="eastAsia" w:cs="Times New Roman"/>
                      <w:color w:val="auto"/>
                      <w:kern w:val="2"/>
                      <w:sz w:val="21"/>
                      <w:szCs w:val="21"/>
                      <w:highlight w:val="none"/>
                      <w:lang w:val="en-US" w:eastAsia="zh-CN"/>
                    </w:rPr>
                    <w:t>纸箱</w:t>
                  </w:r>
                </w:p>
              </w:tc>
              <w:tc>
                <w:tcPr>
                  <w:tcW w:w="444"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379" w:type="pct"/>
                  <w:tcBorders>
                    <w:left w:val="nil"/>
                    <w:right w:val="single" w:color="auto" w:sz="4" w:space="0"/>
                  </w:tcBorders>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347"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sz w:val="21"/>
                      <w:szCs w:val="21"/>
                      <w:highlight w:val="none"/>
                      <w:lang w:val="en-US" w:eastAsia="zh-CN"/>
                    </w:rPr>
                    <w:t>0.5</w:t>
                  </w:r>
                </w:p>
              </w:tc>
              <w:tc>
                <w:tcPr>
                  <w:tcW w:w="365" w:type="pct"/>
                  <w:tcBorders>
                    <w:left w:val="nil"/>
                    <w:right w:val="single" w:color="auto" w:sz="4" w:space="0"/>
                  </w:tcBorders>
                  <w:vAlign w:val="center"/>
                </w:tcPr>
                <w:p>
                  <w:pPr>
                    <w:widowControl/>
                    <w:jc w:val="center"/>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三个月</w:t>
                  </w:r>
                </w:p>
              </w:tc>
              <w:tc>
                <w:tcPr>
                  <w:tcW w:w="347"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6</w:t>
                  </w:r>
                </w:p>
              </w:tc>
              <w:tc>
                <w:tcPr>
                  <w:tcW w:w="30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2" w:type="pct"/>
                  <w:tcBorders>
                    <w:top w:val="single" w:color="auto" w:sz="4" w:space="0"/>
                    <w:left w:val="nil"/>
                    <w:bottom w:val="single" w:color="auto" w:sz="4" w:space="0"/>
                    <w:right w:val="single" w:color="auto" w:sz="4" w:space="0"/>
                  </w:tcBorders>
                  <w:vAlign w:val="center"/>
                </w:tcPr>
                <w:p>
                  <w:pPr>
                    <w:spacing w:line="0" w:lineRule="atLeast"/>
                    <w:jc w:val="center"/>
                    <w:rPr>
                      <w:rFonts w:hint="default" w:ascii="Times New Roman" w:hAnsi="Times New Roman" w:cs="Times New Roman"/>
                      <w:bCs/>
                      <w:color w:val="auto"/>
                      <w:sz w:val="21"/>
                      <w:szCs w:val="21"/>
                      <w:highlight w:val="none"/>
                    </w:rPr>
                  </w:pPr>
                  <w:r>
                    <w:rPr>
                      <w:rFonts w:hint="eastAsia" w:cs="Times New Roman"/>
                      <w:color w:val="auto"/>
                      <w:sz w:val="21"/>
                      <w:szCs w:val="21"/>
                      <w:highlight w:val="none"/>
                      <w:lang w:val="en-US" w:eastAsia="zh-CN"/>
                    </w:rPr>
                    <w:t>废</w:t>
                  </w:r>
                  <w:r>
                    <w:rPr>
                      <w:rFonts w:hint="default" w:ascii="Times New Roman" w:hAnsi="Times New Roman" w:cs="Times New Roman"/>
                      <w:color w:val="auto"/>
                      <w:sz w:val="21"/>
                      <w:szCs w:val="21"/>
                      <w:highlight w:val="none"/>
                    </w:rPr>
                    <w:t>沾染布及手套</w:t>
                  </w:r>
                </w:p>
              </w:tc>
              <w:tc>
                <w:tcPr>
                  <w:tcW w:w="463"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HW49</w:t>
                  </w:r>
                </w:p>
              </w:tc>
              <w:tc>
                <w:tcPr>
                  <w:tcW w:w="732"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900-041-49</w:t>
                  </w:r>
                </w:p>
              </w:tc>
              <w:tc>
                <w:tcPr>
                  <w:tcW w:w="19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9"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344" w:type="pct"/>
                  <w:tcBorders>
                    <w:top w:val="single" w:color="auto" w:sz="4" w:space="0"/>
                    <w:left w:val="nil"/>
                    <w:bottom w:val="single" w:color="auto" w:sz="4" w:space="0"/>
                    <w:right w:val="single" w:color="auto" w:sz="4" w:space="0"/>
                  </w:tcBorders>
                  <w:vAlign w:val="center"/>
                </w:tcPr>
                <w:p>
                  <w:pPr>
                    <w:topLinePunct/>
                    <w:adjustRightInd w:val="0"/>
                    <w:snapToGrid w:val="0"/>
                    <w:contextualSpacing/>
                    <w:jc w:val="center"/>
                    <w:rPr>
                      <w:rFonts w:hint="eastAsia" w:ascii="Times New Roman" w:hAnsi="Times New Roman" w:eastAsia="宋体" w:cs="Times New Roman"/>
                      <w:color w:val="auto"/>
                      <w:kern w:val="2"/>
                      <w:sz w:val="21"/>
                      <w:szCs w:val="21"/>
                      <w:highlight w:val="none"/>
                      <w:lang w:eastAsia="zh-CN"/>
                    </w:rPr>
                  </w:pPr>
                  <w:r>
                    <w:rPr>
                      <w:rFonts w:hint="eastAsia" w:cs="Times New Roman"/>
                      <w:color w:val="auto"/>
                      <w:kern w:val="2"/>
                      <w:sz w:val="21"/>
                      <w:szCs w:val="21"/>
                      <w:highlight w:val="none"/>
                      <w:lang w:val="en-US" w:eastAsia="zh-CN"/>
                    </w:rPr>
                    <w:t>纸箱</w:t>
                  </w:r>
                </w:p>
              </w:tc>
              <w:tc>
                <w:tcPr>
                  <w:tcW w:w="444"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w:t>
                  </w:r>
                </w:p>
              </w:tc>
              <w:tc>
                <w:tcPr>
                  <w:tcW w:w="379" w:type="pct"/>
                  <w:tcBorders>
                    <w:left w:val="nil"/>
                    <w:right w:val="single" w:color="auto" w:sz="4" w:space="0"/>
                  </w:tcBorders>
                  <w:vAlign w:val="center"/>
                </w:tcPr>
                <w:p>
                  <w:pPr>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347" w:type="pct"/>
                  <w:tcBorders>
                    <w:left w:val="nil"/>
                    <w:right w:val="single" w:color="auto" w:sz="4" w:space="0"/>
                  </w:tcBorders>
                  <w:vAlign w:val="center"/>
                </w:tcPr>
                <w:p>
                  <w:pPr>
                    <w:spacing w:line="0" w:lineRule="atLeast"/>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2</w:t>
                  </w:r>
                </w:p>
              </w:tc>
              <w:tc>
                <w:tcPr>
                  <w:tcW w:w="365" w:type="pct"/>
                  <w:tcBorders>
                    <w:left w:val="nil"/>
                    <w:right w:val="single" w:color="auto" w:sz="4" w:space="0"/>
                  </w:tcBorders>
                  <w:vAlign w:val="center"/>
                </w:tcPr>
                <w:p>
                  <w:pPr>
                    <w:widowControl/>
                    <w:jc w:val="center"/>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三个月</w:t>
                  </w:r>
                </w:p>
              </w:tc>
              <w:tc>
                <w:tcPr>
                  <w:tcW w:w="347"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7</w:t>
                  </w:r>
                </w:p>
              </w:tc>
              <w:tc>
                <w:tcPr>
                  <w:tcW w:w="30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745" w:type="dxa"/>
                  <w:tcBorders>
                    <w:top w:val="single" w:color="auto" w:sz="4" w:space="0"/>
                    <w:left w:val="nil"/>
                    <w:bottom w:val="single" w:color="auto" w:sz="4" w:space="0"/>
                    <w:right w:val="single" w:color="auto" w:sz="4" w:space="0"/>
                  </w:tcBorders>
                  <w:vAlign w:val="center"/>
                </w:tcPr>
                <w:p>
                  <w:pPr>
                    <w:spacing w:line="0" w:lineRule="atLeast"/>
                    <w:jc w:val="center"/>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废地毡</w:t>
                  </w:r>
                </w:p>
              </w:tc>
              <w:tc>
                <w:tcPr>
                  <w:tcW w:w="781"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HW49</w:t>
                  </w:r>
                </w:p>
              </w:tc>
              <w:tc>
                <w:tcPr>
                  <w:tcW w:w="1246" w:type="dxa"/>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900-041-49</w:t>
                  </w:r>
                </w:p>
              </w:tc>
              <w:tc>
                <w:tcPr>
                  <w:tcW w:w="19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9"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561" w:type="dxa"/>
                  <w:tcBorders>
                    <w:top w:val="single" w:color="auto" w:sz="4" w:space="0"/>
                    <w:left w:val="nil"/>
                    <w:bottom w:val="single" w:color="auto" w:sz="4" w:space="0"/>
                    <w:right w:val="single" w:color="auto" w:sz="4" w:space="0"/>
                  </w:tcBorders>
                  <w:vAlign w:val="center"/>
                </w:tcPr>
                <w:p>
                  <w:pPr>
                    <w:topLinePunct/>
                    <w:adjustRightInd w:val="0"/>
                    <w:snapToGrid w:val="0"/>
                    <w:contextualSpacing/>
                    <w:jc w:val="center"/>
                    <w:rPr>
                      <w:rFonts w:hint="eastAsia"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纸箱</w:t>
                  </w:r>
                </w:p>
              </w:tc>
              <w:tc>
                <w:tcPr>
                  <w:tcW w:w="749" w:type="dxa"/>
                  <w:tcBorders>
                    <w:left w:val="nil"/>
                    <w:right w:val="single" w:color="auto" w:sz="4" w:space="0"/>
                  </w:tcBorders>
                  <w:vAlign w:val="center"/>
                </w:tcPr>
                <w:p>
                  <w:pPr>
                    <w:spacing w:line="0" w:lineRule="atLeas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767" w:type="dxa"/>
                  <w:tcBorders>
                    <w:left w:val="nil"/>
                    <w:right w:val="single" w:color="auto" w:sz="4" w:space="0"/>
                  </w:tcBorders>
                  <w:vAlign w:val="center"/>
                </w:tcPr>
                <w:p>
                  <w:pPr>
                    <w:spacing w:line="0" w:lineRule="atLeast"/>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594" w:type="dxa"/>
                  <w:tcBorders>
                    <w:left w:val="nil"/>
                    <w:right w:val="single" w:color="auto" w:sz="4" w:space="0"/>
                  </w:tcBorders>
                  <w:vAlign w:val="center"/>
                </w:tcPr>
                <w:p>
                  <w:pPr>
                    <w:spacing w:line="0" w:lineRule="atLeast"/>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0.</w:t>
                  </w:r>
                  <w:r>
                    <w:rPr>
                      <w:rFonts w:hint="eastAsia" w:cs="Times New Roman"/>
                      <w:color w:val="auto"/>
                      <w:sz w:val="21"/>
                      <w:szCs w:val="21"/>
                      <w:highlight w:val="none"/>
                      <w:lang w:val="en-US" w:eastAsia="zh-CN"/>
                    </w:rPr>
                    <w:t>5</w:t>
                  </w:r>
                </w:p>
              </w:tc>
              <w:tc>
                <w:tcPr>
                  <w:tcW w:w="605" w:type="dxa"/>
                  <w:tcBorders>
                    <w:left w:val="nil"/>
                    <w:right w:val="single" w:color="auto" w:sz="4" w:space="0"/>
                  </w:tcBorders>
                  <w:vAlign w:val="center"/>
                </w:tcPr>
                <w:p>
                  <w:pPr>
                    <w:widowControl/>
                    <w:jc w:val="center"/>
                    <w:rPr>
                      <w:rFonts w:hint="eastAsia"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三个月</w:t>
                  </w:r>
                </w:p>
              </w:tc>
              <w:tc>
                <w:tcPr>
                  <w:tcW w:w="594" w:type="dxa"/>
                  <w:tcBorders>
                    <w:left w:val="nil"/>
                    <w:right w:val="single" w:color="auto" w:sz="4" w:space="0"/>
                  </w:tcBorders>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8</w:t>
                  </w:r>
                </w:p>
              </w:tc>
              <w:tc>
                <w:tcPr>
                  <w:tcW w:w="30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2" w:type="pct"/>
                  <w:tcBorders>
                    <w:top w:val="single" w:color="auto" w:sz="4" w:space="0"/>
                    <w:left w:val="nil"/>
                    <w:bottom w:val="single" w:color="auto" w:sz="4" w:space="0"/>
                    <w:right w:val="single" w:color="auto" w:sz="4" w:space="0"/>
                  </w:tcBorders>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废活性炭</w:t>
                  </w:r>
                </w:p>
              </w:tc>
              <w:tc>
                <w:tcPr>
                  <w:tcW w:w="463"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HW49</w:t>
                  </w:r>
                </w:p>
              </w:tc>
              <w:tc>
                <w:tcPr>
                  <w:tcW w:w="732"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900-0</w:t>
                  </w:r>
                  <w:r>
                    <w:rPr>
                      <w:rFonts w:hint="eastAsia" w:ascii="Times New Roman" w:hAnsi="Times New Roman" w:cs="Times New Roman"/>
                      <w:color w:val="auto"/>
                      <w:sz w:val="21"/>
                      <w:szCs w:val="21"/>
                      <w:highlight w:val="none"/>
                      <w:lang w:val="en-US" w:eastAsia="zh-CN"/>
                    </w:rPr>
                    <w:t>39</w:t>
                  </w:r>
                  <w:r>
                    <w:rPr>
                      <w:rFonts w:hint="default" w:ascii="Times New Roman" w:hAnsi="Times New Roman" w:cs="Times New Roman"/>
                      <w:color w:val="auto"/>
                      <w:sz w:val="21"/>
                      <w:szCs w:val="21"/>
                      <w:highlight w:val="none"/>
                    </w:rPr>
                    <w:t>-49</w:t>
                  </w:r>
                </w:p>
              </w:tc>
              <w:tc>
                <w:tcPr>
                  <w:tcW w:w="19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9"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344" w:type="pct"/>
                  <w:tcBorders>
                    <w:top w:val="single" w:color="auto" w:sz="4" w:space="0"/>
                    <w:left w:val="nil"/>
                    <w:bottom w:val="single" w:color="auto" w:sz="4" w:space="0"/>
                    <w:right w:val="single" w:color="auto" w:sz="4" w:space="0"/>
                  </w:tcBorders>
                  <w:vAlign w:val="center"/>
                </w:tcPr>
                <w:p>
                  <w:pPr>
                    <w:topLinePunct/>
                    <w:adjustRightInd w:val="0"/>
                    <w:snapToGrid w:val="0"/>
                    <w:contextualSpacing/>
                    <w:jc w:val="center"/>
                    <w:rPr>
                      <w:rFonts w:hint="eastAsia" w:ascii="Times New Roman" w:hAnsi="Times New Roman" w:eastAsia="宋体" w:cs="Times New Roman"/>
                      <w:color w:val="auto"/>
                      <w:kern w:val="2"/>
                      <w:sz w:val="21"/>
                      <w:szCs w:val="21"/>
                      <w:highlight w:val="none"/>
                      <w:lang w:eastAsia="zh-CN"/>
                    </w:rPr>
                  </w:pPr>
                  <w:r>
                    <w:rPr>
                      <w:rFonts w:hint="eastAsia" w:cs="Times New Roman"/>
                      <w:color w:val="auto"/>
                      <w:kern w:val="2"/>
                      <w:sz w:val="21"/>
                      <w:szCs w:val="21"/>
                      <w:highlight w:val="none"/>
                      <w:lang w:val="en-US" w:eastAsia="zh-CN"/>
                    </w:rPr>
                    <w:t>纸箱</w:t>
                  </w:r>
                </w:p>
              </w:tc>
              <w:tc>
                <w:tcPr>
                  <w:tcW w:w="444"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379"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347"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sz w:val="21"/>
                      <w:szCs w:val="21"/>
                      <w:highlight w:val="none"/>
                      <w:lang w:val="en-US" w:eastAsia="zh-CN"/>
                    </w:rPr>
                    <w:t>1.5</w:t>
                  </w:r>
                </w:p>
              </w:tc>
              <w:tc>
                <w:tcPr>
                  <w:tcW w:w="365" w:type="pct"/>
                  <w:tcBorders>
                    <w:left w:val="nil"/>
                    <w:right w:val="single" w:color="auto" w:sz="4" w:space="0"/>
                  </w:tcBorders>
                  <w:vAlign w:val="center"/>
                </w:tcPr>
                <w:p>
                  <w:pPr>
                    <w:widowControl/>
                    <w:jc w:val="center"/>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一年</w:t>
                  </w:r>
                </w:p>
              </w:tc>
              <w:tc>
                <w:tcPr>
                  <w:tcW w:w="347"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9</w:t>
                  </w:r>
                </w:p>
              </w:tc>
              <w:tc>
                <w:tcPr>
                  <w:tcW w:w="30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2" w:type="pct"/>
                  <w:tcBorders>
                    <w:top w:val="single" w:color="auto" w:sz="4" w:space="0"/>
                    <w:left w:val="nil"/>
                    <w:bottom w:val="single" w:color="auto" w:sz="4" w:space="0"/>
                    <w:right w:val="single" w:color="auto" w:sz="4" w:space="0"/>
                  </w:tcBorders>
                  <w:vAlign w:val="center"/>
                </w:tcPr>
                <w:p>
                  <w:pPr>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废漆渣</w:t>
                  </w:r>
                </w:p>
              </w:tc>
              <w:tc>
                <w:tcPr>
                  <w:tcW w:w="463"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HW12</w:t>
                  </w:r>
                </w:p>
              </w:tc>
              <w:tc>
                <w:tcPr>
                  <w:tcW w:w="732"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900-252-12</w:t>
                  </w:r>
                </w:p>
              </w:tc>
              <w:tc>
                <w:tcPr>
                  <w:tcW w:w="19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9"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344" w:type="pct"/>
                  <w:tcBorders>
                    <w:top w:val="single" w:color="auto" w:sz="4" w:space="0"/>
                    <w:left w:val="nil"/>
                    <w:bottom w:val="single" w:color="auto" w:sz="4" w:space="0"/>
                    <w:right w:val="single" w:color="auto" w:sz="4" w:space="0"/>
                  </w:tcBorders>
                  <w:vAlign w:val="center"/>
                </w:tcPr>
                <w:p>
                  <w:pPr>
                    <w:topLinePunct/>
                    <w:adjustRightInd w:val="0"/>
                    <w:snapToGrid w:val="0"/>
                    <w:contextualSpacing/>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200L铁桶</w:t>
                  </w:r>
                </w:p>
              </w:tc>
              <w:tc>
                <w:tcPr>
                  <w:tcW w:w="444"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p>
              </w:tc>
              <w:tc>
                <w:tcPr>
                  <w:tcW w:w="379"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w:t>
                  </w:r>
                </w:p>
              </w:tc>
              <w:tc>
                <w:tcPr>
                  <w:tcW w:w="347"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1.5</w:t>
                  </w:r>
                </w:p>
              </w:tc>
              <w:tc>
                <w:tcPr>
                  <w:tcW w:w="365" w:type="pct"/>
                  <w:tcBorders>
                    <w:left w:val="nil"/>
                    <w:right w:val="single" w:color="auto" w:sz="4" w:space="0"/>
                  </w:tcBorders>
                  <w:vAlign w:val="center"/>
                </w:tcPr>
                <w:p>
                  <w:pPr>
                    <w:widowControl/>
                    <w:jc w:val="center"/>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三个月</w:t>
                  </w:r>
                </w:p>
              </w:tc>
              <w:tc>
                <w:tcPr>
                  <w:tcW w:w="347"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89" w:type="pct"/>
                  <w:tcBorders>
                    <w:top w:val="single" w:color="auto" w:sz="4" w:space="0"/>
                    <w:left w:val="single" w:color="auto" w:sz="4" w:space="0"/>
                    <w:bottom w:val="single" w:color="auto" w:sz="4" w:space="0"/>
                    <w:right w:val="single" w:color="auto" w:sz="4" w:space="0"/>
                  </w:tcBorders>
                  <w:vAlign w:val="center"/>
                </w:tcPr>
                <w:p>
                  <w:pPr>
                    <w:topLinePunct/>
                    <w:adjustRightInd w:val="0"/>
                    <w:snapToGrid w:val="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10</w:t>
                  </w:r>
                </w:p>
              </w:tc>
              <w:tc>
                <w:tcPr>
                  <w:tcW w:w="30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2" w:type="pct"/>
                  <w:tcBorders>
                    <w:top w:val="single" w:color="auto" w:sz="4" w:space="0"/>
                    <w:left w:val="nil"/>
                    <w:bottom w:val="single" w:color="auto" w:sz="4" w:space="0"/>
                    <w:right w:val="single" w:color="auto" w:sz="4" w:space="0"/>
                  </w:tcBorders>
                  <w:vAlign w:val="center"/>
                </w:tcPr>
                <w:p>
                  <w:pPr>
                    <w:spacing w:line="0" w:lineRule="atLeast"/>
                    <w:jc w:val="center"/>
                    <w:rPr>
                      <w:rFonts w:hint="default" w:ascii="Times New Roman" w:hAnsi="Times New Roman" w:cs="Times New Roman"/>
                      <w:bCs/>
                      <w:color w:val="auto"/>
                      <w:sz w:val="21"/>
                      <w:szCs w:val="21"/>
                      <w:highlight w:val="none"/>
                    </w:rPr>
                  </w:pPr>
                  <w:r>
                    <w:rPr>
                      <w:rFonts w:hint="eastAsia" w:cs="Times New Roman"/>
                      <w:color w:val="auto"/>
                      <w:sz w:val="21"/>
                      <w:szCs w:val="21"/>
                      <w:highlight w:val="none"/>
                      <w:lang w:val="en-US" w:eastAsia="zh-CN"/>
                    </w:rPr>
                    <w:t>水帘废水</w:t>
                  </w:r>
                </w:p>
              </w:tc>
              <w:tc>
                <w:tcPr>
                  <w:tcW w:w="463"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HW12</w:t>
                  </w:r>
                </w:p>
              </w:tc>
              <w:tc>
                <w:tcPr>
                  <w:tcW w:w="732" w:type="pct"/>
                  <w:tcBorders>
                    <w:top w:val="single" w:color="auto" w:sz="4" w:space="0"/>
                    <w:left w:val="nil"/>
                    <w:bottom w:val="single" w:color="auto" w:sz="4" w:space="0"/>
                    <w:right w:val="single" w:color="auto" w:sz="4" w:space="0"/>
                  </w:tcBorders>
                  <w:vAlign w:val="center"/>
                </w:tcPr>
                <w:p>
                  <w:pPr>
                    <w:widowControl/>
                    <w:spacing w:line="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900-252-12</w:t>
                  </w:r>
                </w:p>
              </w:tc>
              <w:tc>
                <w:tcPr>
                  <w:tcW w:w="191"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449" w:type="pct"/>
                  <w:vMerge w:val="continue"/>
                  <w:tcBorders>
                    <w:left w:val="nil"/>
                    <w:right w:val="single" w:color="auto" w:sz="4" w:space="0"/>
                  </w:tcBorders>
                  <w:vAlign w:val="center"/>
                </w:tcPr>
                <w:p>
                  <w:pPr>
                    <w:widowControl/>
                    <w:jc w:val="left"/>
                    <w:rPr>
                      <w:rFonts w:hint="default" w:ascii="Times New Roman" w:hAnsi="Times New Roman" w:cs="Times New Roman"/>
                      <w:color w:val="auto"/>
                      <w:kern w:val="2"/>
                      <w:sz w:val="21"/>
                      <w:szCs w:val="21"/>
                      <w:highlight w:val="none"/>
                    </w:rPr>
                  </w:pPr>
                </w:p>
              </w:tc>
              <w:tc>
                <w:tcPr>
                  <w:tcW w:w="344" w:type="pct"/>
                  <w:tcBorders>
                    <w:top w:val="single" w:color="auto" w:sz="4" w:space="0"/>
                    <w:left w:val="nil"/>
                    <w:bottom w:val="single" w:color="auto" w:sz="4" w:space="0"/>
                    <w:right w:val="single" w:color="auto" w:sz="4" w:space="0"/>
                  </w:tcBorders>
                  <w:vAlign w:val="center"/>
                </w:tcPr>
                <w:p>
                  <w:pPr>
                    <w:topLinePunct/>
                    <w:adjustRightInd w:val="0"/>
                    <w:snapToGrid w:val="0"/>
                    <w:contextualSpacing/>
                    <w:jc w:val="center"/>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200L铁桶、托盘</w:t>
                  </w:r>
                </w:p>
              </w:tc>
              <w:tc>
                <w:tcPr>
                  <w:tcW w:w="444"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379" w:type="pct"/>
                  <w:tcBorders>
                    <w:left w:val="nil"/>
                    <w:right w:val="single" w:color="auto" w:sz="4" w:space="0"/>
                  </w:tcBorders>
                  <w:vAlign w:val="center"/>
                </w:tcPr>
                <w:p>
                  <w:pPr>
                    <w:spacing w:line="0" w:lineRule="atLeast"/>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347" w:type="pct"/>
                  <w:tcBorders>
                    <w:left w:val="nil"/>
                    <w:right w:val="single" w:color="auto" w:sz="4" w:space="0"/>
                  </w:tcBorders>
                  <w:vAlign w:val="center"/>
                </w:tcPr>
                <w:p>
                  <w:pPr>
                    <w:spacing w:line="0" w:lineRule="atLeast"/>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w:t>
                  </w:r>
                </w:p>
              </w:tc>
              <w:tc>
                <w:tcPr>
                  <w:tcW w:w="365" w:type="pct"/>
                  <w:tcBorders>
                    <w:left w:val="nil"/>
                    <w:right w:val="single" w:color="auto" w:sz="4" w:space="0"/>
                  </w:tcBorders>
                  <w:vAlign w:val="center"/>
                </w:tcPr>
                <w:p>
                  <w:pPr>
                    <w:widowControl/>
                    <w:jc w:val="center"/>
                    <w:rPr>
                      <w:rFonts w:hint="eastAsia"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三个月</w:t>
                  </w:r>
                </w:p>
              </w:tc>
              <w:tc>
                <w:tcPr>
                  <w:tcW w:w="347" w:type="pct"/>
                  <w:tcBorders>
                    <w:left w:val="nil"/>
                    <w:right w:val="single" w:color="auto" w:sz="4" w:space="0"/>
                  </w:tcBorders>
                  <w:vAlign w:val="center"/>
                </w:tcPr>
                <w:p>
                  <w:pPr>
                    <w:spacing w:line="0" w:lineRule="atLeast"/>
                    <w:jc w:val="center"/>
                    <w:rPr>
                      <w:rFonts w:hint="eastAsia"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2</w:t>
                  </w:r>
                </w:p>
              </w:tc>
            </w:tr>
          </w:tbl>
          <w:p>
            <w:pPr>
              <w:tabs>
                <w:tab w:val="left" w:pos="2520"/>
                <w:tab w:val="left" w:pos="2880"/>
              </w:tabs>
              <w:adjustRightInd w:val="0"/>
              <w:snapToGrid w:val="0"/>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本项目危险废物暂存间位于喷漆车间内，面积约</w:t>
            </w:r>
            <w:r>
              <w:rPr>
                <w:rFonts w:hint="eastAsia" w:cs="Times New Roman"/>
                <w:color w:val="auto"/>
                <w:highlight w:val="none"/>
                <w:lang w:val="en-US" w:eastAsia="zh-CN"/>
              </w:rPr>
              <w:t>30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，结合各危险废物贮存周期可知，本项目危险废物年最大暂存量约为</w:t>
            </w:r>
            <w:r>
              <w:rPr>
                <w:rFonts w:hint="eastAsia" w:cs="Times New Roman"/>
                <w:color w:val="auto"/>
                <w:highlight w:val="none"/>
                <w:lang w:val="en-US" w:eastAsia="zh-CN"/>
              </w:rPr>
              <w:t>7.025</w:t>
            </w:r>
            <w:r>
              <w:rPr>
                <w:rFonts w:hint="default" w:ascii="Times New Roman" w:hAnsi="Times New Roman" w:cs="Times New Roman"/>
                <w:color w:val="auto"/>
                <w:highlight w:val="none"/>
              </w:rPr>
              <w:t>t，小于危废暂存间贮存能力</w:t>
            </w:r>
            <w:r>
              <w:rPr>
                <w:rFonts w:hint="eastAsia" w:cs="Times New Roman"/>
                <w:color w:val="auto"/>
                <w:highlight w:val="none"/>
                <w:lang w:val="en-US" w:eastAsia="zh-CN"/>
              </w:rPr>
              <w:t>7.5</w:t>
            </w:r>
            <w:r>
              <w:rPr>
                <w:rFonts w:hint="default" w:ascii="Times New Roman" w:hAnsi="Times New Roman" w:cs="Times New Roman"/>
                <w:color w:val="auto"/>
                <w:highlight w:val="none"/>
              </w:rPr>
              <w:t>t。因此，危废暂存间能够满足本项目要求。</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根据《建设项目危险废物环境影响评价指南》要求，本评价明确危险废物的名称、数量、类别、形态、危险特性和污染防治措施等内容。</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本项目危险废物暂存处应采取如下控制及管理措施：</w:t>
            </w:r>
          </w:p>
          <w:p>
            <w:pPr>
              <w:spacing w:line="360" w:lineRule="auto"/>
              <w:ind w:left="480"/>
              <w:rPr>
                <w:rFonts w:hint="default" w:ascii="Times New Roman" w:hAnsi="Times New Roman" w:cs="Times New Roman"/>
                <w:color w:val="auto"/>
                <w:highlight w:val="none"/>
              </w:rPr>
            </w:pPr>
            <w:r>
              <w:rPr>
                <w:rFonts w:hint="default" w:ascii="Times New Roman" w:hAnsi="Times New Roman" w:cs="Times New Roman"/>
                <w:color w:val="auto"/>
                <w:highlight w:val="none"/>
              </w:rPr>
              <w:t>①危险废物暂存处要求：</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产生的危险废物暂存于危废间内。为保证暂存的危险废物不对环境产生污染，依据《危险废物贮存污染控制标准》（GB18597-2023）、《危险废物收集贮存运输技术规范》（HJ2025-2012）及相关法律法规，对危险废物暂存场地提出如下安全措施：</w:t>
            </w:r>
          </w:p>
          <w:p>
            <w:pPr>
              <w:numPr>
                <w:ilvl w:val="0"/>
                <w:numId w:val="8"/>
              </w:num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贮存设施应根据危险废物的形态、物理化学性质、包装形式和污染物迁移</w:t>
            </w:r>
          </w:p>
          <w:p>
            <w:pPr>
              <w:numPr>
                <w:ilvl w:val="0"/>
                <w:numId w:val="0"/>
              </w:num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途径，采取必要的防风、防晒、防雨、防漏、防渗、防腐以及其他环境污染防治措施，不应露天堆放危险废物。</w:t>
            </w:r>
          </w:p>
          <w:p>
            <w:pPr>
              <w:numPr>
                <w:ilvl w:val="0"/>
                <w:numId w:val="8"/>
              </w:num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贮存设施应根据危险废物的类别、数量、形态、物理化学性质和污染防治</w:t>
            </w:r>
          </w:p>
          <w:p>
            <w:pPr>
              <w:numPr>
                <w:ilvl w:val="0"/>
                <w:numId w:val="0"/>
              </w:num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等要求设置必要的贮存分区，避免不相容的危险废物接触、混合。</w:t>
            </w:r>
          </w:p>
          <w:p>
            <w:pPr>
              <w:numPr>
                <w:ilvl w:val="0"/>
                <w:numId w:val="8"/>
              </w:num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贮存设施或贮存分区内地面、墙面裙脚、堵截泄漏的围堰、接触危险废物</w:t>
            </w:r>
          </w:p>
          <w:p>
            <w:pPr>
              <w:numPr>
                <w:ilvl w:val="0"/>
                <w:numId w:val="0"/>
              </w:num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的隔板和墙体等应采用坚固的材料建造，表面无裂缝。</w:t>
            </w:r>
          </w:p>
          <w:p>
            <w:pPr>
              <w:numPr>
                <w:ilvl w:val="0"/>
                <w:numId w:val="8"/>
              </w:num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贮存设施地面与裙脚应采取表面防渗措施；表面防渗材料应与所接触的物</w:t>
            </w:r>
          </w:p>
          <w:p>
            <w:pPr>
              <w:numPr>
                <w:ilvl w:val="0"/>
                <w:numId w:val="0"/>
              </w:num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料或污染物相容，可采用抗渗混凝土、高密度聚乙烯膜、钠基膨润土防水毯或其他防渗性能等效的材料。贮存的危险废物直接接触地面的，还应进行基础防渗，防渗层为至少 1 m 厚黏土层（渗透系数不大于 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 xml:space="preserve"> cm/s），或至少2 mm 厚高密度聚乙烯膜等人工防渗材料（渗透系数不大于10</w:t>
            </w:r>
            <w:r>
              <w:rPr>
                <w:rFonts w:hint="default" w:ascii="Times New Roman" w:hAnsi="Times New Roman" w:cs="Times New Roman"/>
                <w:color w:val="auto"/>
                <w:highlight w:val="none"/>
                <w:vertAlign w:val="superscript"/>
              </w:rPr>
              <w:t>-10</w:t>
            </w:r>
            <w:r>
              <w:rPr>
                <w:rFonts w:hint="default" w:ascii="Times New Roman" w:hAnsi="Times New Roman" w:cs="Times New Roman"/>
                <w:color w:val="auto"/>
                <w:highlight w:val="none"/>
              </w:rPr>
              <w:t xml:space="preserve"> cm/s），或其他防渗性能等效的材料。</w:t>
            </w:r>
          </w:p>
          <w:p>
            <w:pPr>
              <w:numPr>
                <w:ilvl w:val="0"/>
                <w:numId w:val="8"/>
              </w:num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同一贮存设施宜采用相同的防渗、防腐工艺（包括防渗、防腐结构或材料），</w:t>
            </w:r>
          </w:p>
          <w:p>
            <w:pPr>
              <w:numPr>
                <w:ilvl w:val="0"/>
                <w:numId w:val="0"/>
              </w:num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防渗、防腐材料应覆盖所有可能与废物及其渗滤液、渗漏液等接触的构筑物表面；采用不同防渗、防腐工艺应分别建设贮存分区。</w:t>
            </w:r>
          </w:p>
          <w:p>
            <w:pPr>
              <w:numPr>
                <w:ilvl w:val="0"/>
                <w:numId w:val="8"/>
              </w:numPr>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rPr>
              <w:t>贮存设施应采取技术和管理措施防止无关人员进入。</w:t>
            </w:r>
          </w:p>
          <w:p>
            <w:pPr>
              <w:spacing w:line="360" w:lineRule="auto"/>
              <w:ind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kern w:val="2"/>
                <w:highlight w:val="none"/>
              </w:rPr>
              <w:t>②危险废物环境影响分析</w:t>
            </w:r>
          </w:p>
          <w:p>
            <w:pPr>
              <w:autoSpaceDE w:val="0"/>
              <w:autoSpaceDN w:val="0"/>
              <w:jc w:val="center"/>
              <w:textAlignment w:val="bottom"/>
              <w:rPr>
                <w:rFonts w:hint="default" w:ascii="Times New Roman" w:hAnsi="Times New Roman" w:cs="Times New Roman"/>
                <w:color w:val="auto"/>
                <w:highlight w:val="none"/>
              </w:rPr>
            </w:pPr>
            <w:r>
              <w:rPr>
                <w:rFonts w:hint="default" w:ascii="Times New Roman" w:hAnsi="Times New Roman" w:cs="Times New Roman"/>
                <w:b/>
                <w:color w:val="auto"/>
                <w:kern w:val="2"/>
                <w:sz w:val="21"/>
                <w:szCs w:val="21"/>
                <w:highlight w:val="none"/>
              </w:rPr>
              <w:t>表4-3</w:t>
            </w:r>
            <w:r>
              <w:rPr>
                <w:rFonts w:hint="eastAsia" w:cs="Times New Roman"/>
                <w:b/>
                <w:color w:val="auto"/>
                <w:kern w:val="2"/>
                <w:sz w:val="21"/>
                <w:szCs w:val="21"/>
                <w:highlight w:val="none"/>
                <w:lang w:val="en-US" w:eastAsia="zh-CN"/>
              </w:rPr>
              <w:t>3</w:t>
            </w:r>
            <w:r>
              <w:rPr>
                <w:rFonts w:hint="default" w:ascii="Times New Roman" w:hAnsi="Times New Roman" w:cs="Times New Roman"/>
                <w:b/>
                <w:color w:val="auto"/>
                <w:kern w:val="2"/>
                <w:sz w:val="21"/>
                <w:szCs w:val="21"/>
                <w:highlight w:val="none"/>
              </w:rPr>
              <w:t xml:space="preserve"> 危险废物环境影响分析</w:t>
            </w:r>
          </w:p>
          <w:tbl>
            <w:tblPr>
              <w:tblStyle w:val="29"/>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7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01" w:type="pct"/>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环境影响类别</w:t>
                  </w:r>
                </w:p>
              </w:tc>
              <w:tc>
                <w:tcPr>
                  <w:tcW w:w="3998" w:type="pct"/>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影响分析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1" w:type="pct"/>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贮存场所环境影响</w:t>
                  </w:r>
                </w:p>
              </w:tc>
              <w:tc>
                <w:tcPr>
                  <w:tcW w:w="3998" w:type="pct"/>
                  <w:vAlign w:val="center"/>
                </w:tcPr>
                <w:p>
                  <w:pP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危险废物暂存场所（危废间）设置于喷漆</w:t>
                  </w:r>
                  <w:r>
                    <w:rPr>
                      <w:rFonts w:hint="eastAsia" w:cs="Times New Roman"/>
                      <w:color w:val="auto"/>
                      <w:sz w:val="21"/>
                      <w:szCs w:val="21"/>
                      <w:highlight w:val="none"/>
                      <w:lang w:val="en-US" w:eastAsia="zh-CN"/>
                    </w:rPr>
                    <w:t>房西侧</w:t>
                  </w:r>
                  <w:r>
                    <w:rPr>
                      <w:rFonts w:hint="default" w:ascii="Times New Roman" w:hAnsi="Times New Roman" w:cs="Times New Roman"/>
                      <w:color w:val="auto"/>
                      <w:sz w:val="21"/>
                      <w:szCs w:val="21"/>
                      <w:highlight w:val="none"/>
                    </w:rPr>
                    <w:t>，危废间需采取防渗措施和渗漏收集措施，满足“</w:t>
                  </w:r>
                  <w:r>
                    <w:rPr>
                      <w:rFonts w:hint="eastAsia" w:cs="Times New Roman"/>
                      <w:color w:val="auto"/>
                      <w:sz w:val="21"/>
                      <w:szCs w:val="21"/>
                      <w:highlight w:val="none"/>
                      <w:lang w:val="en-US" w:eastAsia="zh-CN"/>
                    </w:rPr>
                    <w:t>六</w:t>
                  </w:r>
                  <w:r>
                    <w:rPr>
                      <w:rFonts w:hint="default" w:ascii="Times New Roman" w:hAnsi="Times New Roman" w:cs="Times New Roman"/>
                      <w:color w:val="auto"/>
                      <w:sz w:val="21"/>
                      <w:szCs w:val="21"/>
                      <w:highlight w:val="none"/>
                    </w:rPr>
                    <w:t>防”（防风、防晒、防雨、防漏、防渗、防腐以及其他环境污染防治措施）要求</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不应露天堆放危险废物</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应</w:t>
                  </w:r>
                  <w:r>
                    <w:rPr>
                      <w:rFonts w:hint="default" w:ascii="Times New Roman" w:hAnsi="Times New Roman" w:cs="Times New Roman"/>
                      <w:color w:val="auto"/>
                      <w:sz w:val="21"/>
                      <w:szCs w:val="21"/>
                      <w:highlight w:val="none"/>
                    </w:rPr>
                    <w:t>设置</w:t>
                  </w:r>
                  <w:r>
                    <w:rPr>
                      <w:rFonts w:hint="eastAsia" w:cs="Times New Roman"/>
                      <w:color w:val="auto"/>
                      <w:sz w:val="21"/>
                      <w:szCs w:val="21"/>
                      <w:highlight w:val="none"/>
                      <w:lang w:eastAsia="zh-CN"/>
                    </w:rPr>
                    <w:t>警示标识</w:t>
                  </w:r>
                  <w:r>
                    <w:rPr>
                      <w:rFonts w:hint="default" w:ascii="Times New Roman" w:hAnsi="Times New Roman" w:cs="Times New Roman"/>
                      <w:color w:val="auto"/>
                      <w:sz w:val="21"/>
                      <w:szCs w:val="21"/>
                      <w:highlight w:val="none"/>
                    </w:rPr>
                    <w:t>。危险废物贮存场所不会造成不利环境影响。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001" w:type="pct"/>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运输过程的环境影响</w:t>
                  </w:r>
                </w:p>
              </w:tc>
              <w:tc>
                <w:tcPr>
                  <w:tcW w:w="3998" w:type="pct"/>
                  <w:vAlign w:val="center"/>
                </w:tcPr>
                <w:p>
                  <w:pP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危险废物暂存场所（危废间）设置于喷漆</w:t>
                  </w:r>
                  <w:r>
                    <w:rPr>
                      <w:rFonts w:hint="eastAsia" w:cs="Times New Roman"/>
                      <w:color w:val="auto"/>
                      <w:sz w:val="21"/>
                      <w:szCs w:val="21"/>
                      <w:highlight w:val="none"/>
                      <w:lang w:val="en-US" w:eastAsia="zh-CN"/>
                    </w:rPr>
                    <w:t>房西侧</w:t>
                  </w:r>
                  <w:r>
                    <w:rPr>
                      <w:rFonts w:hint="default" w:ascii="Times New Roman" w:hAnsi="Times New Roman" w:cs="Times New Roman"/>
                      <w:color w:val="auto"/>
                      <w:sz w:val="21"/>
                      <w:szCs w:val="21"/>
                      <w:highlight w:val="none"/>
                    </w:rPr>
                    <w:t>，贮存场所地面及生产车间地面均需采取硬化和防腐防渗措施，降低对周边环境及地下水环境产生不利影响。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001" w:type="pct"/>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委托利用或者处置的环境影响</w:t>
                  </w:r>
                </w:p>
              </w:tc>
              <w:tc>
                <w:tcPr>
                  <w:tcW w:w="3998" w:type="pct"/>
                  <w:vAlign w:val="center"/>
                </w:tcPr>
                <w:p>
                  <w:pP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本项目危险废物需委托有资质的单位进行处置。本项目产生的危险废物类别均需要在有资质的单位的经营范围内，不会产生显著的环境影响。</w:t>
                  </w:r>
                </w:p>
              </w:tc>
            </w:tr>
          </w:tbl>
          <w:p>
            <w:pPr>
              <w:spacing w:line="360" w:lineRule="auto"/>
              <w:ind w:firstLine="480" w:firstLineChars="200"/>
              <w:rPr>
                <w:rFonts w:hint="default" w:ascii="Times New Roman" w:hAnsi="Times New Roman" w:cs="Times New Roman"/>
                <w:b/>
                <w:bCs/>
                <w:color w:val="auto"/>
                <w:highlight w:val="none"/>
              </w:rPr>
            </w:pPr>
            <w:r>
              <w:rPr>
                <w:rFonts w:hint="eastAsia" w:cs="Times New Roman"/>
                <w:color w:val="auto"/>
                <w:highlight w:val="none"/>
                <w:lang w:val="en-US" w:eastAsia="zh-CN"/>
              </w:rPr>
              <w:t>综上，</w:t>
            </w:r>
            <w:r>
              <w:rPr>
                <w:rFonts w:hint="default" w:ascii="Times New Roman" w:hAnsi="Times New Roman" w:cs="Times New Roman"/>
                <w:color w:val="auto"/>
                <w:highlight w:val="none"/>
              </w:rPr>
              <w:t>本项目</w:t>
            </w:r>
            <w:r>
              <w:rPr>
                <w:rFonts w:hint="eastAsia" w:cs="Times New Roman"/>
                <w:color w:val="auto"/>
                <w:highlight w:val="none"/>
                <w:lang w:val="en-US" w:eastAsia="zh-CN"/>
              </w:rPr>
              <w:t>拟对</w:t>
            </w:r>
            <w:r>
              <w:rPr>
                <w:rFonts w:hint="default" w:ascii="Times New Roman" w:hAnsi="Times New Roman" w:cs="Times New Roman"/>
                <w:color w:val="auto"/>
                <w:highlight w:val="none"/>
              </w:rPr>
              <w:t>危险废物</w:t>
            </w:r>
            <w:r>
              <w:rPr>
                <w:rFonts w:hint="eastAsia" w:cs="Times New Roman"/>
                <w:color w:val="auto"/>
                <w:highlight w:val="none"/>
                <w:lang w:val="en-US" w:eastAsia="zh-CN"/>
              </w:rPr>
              <w:t>采取的污染防治措施</w:t>
            </w:r>
            <w:r>
              <w:rPr>
                <w:rFonts w:hint="default" w:ascii="Times New Roman" w:hAnsi="Times New Roman" w:cs="Times New Roman"/>
                <w:color w:val="auto"/>
                <w:highlight w:val="none"/>
              </w:rPr>
              <w:t>均符合《危险废物贮存污染控制标准》（GB18597-2023）、《危险废物收集、贮存、运输技术规范》（HJ2025-2012）的要求，</w:t>
            </w:r>
            <w:r>
              <w:rPr>
                <w:rFonts w:hint="eastAsia" w:cs="Times New Roman"/>
                <w:color w:val="auto"/>
                <w:highlight w:val="none"/>
                <w:lang w:val="en-US" w:eastAsia="zh-CN"/>
              </w:rPr>
              <w:t>危险废物能够得到有效处置，</w:t>
            </w:r>
            <w:r>
              <w:rPr>
                <w:rFonts w:hint="default" w:ascii="Times New Roman" w:hAnsi="Times New Roman" w:cs="Times New Roman"/>
                <w:color w:val="auto"/>
                <w:highlight w:val="none"/>
              </w:rPr>
              <w:t>不会对环境造成二次污染。</w:t>
            </w:r>
          </w:p>
          <w:p>
            <w:pPr>
              <w:pStyle w:val="73"/>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五．环境风险影响评价</w:t>
            </w:r>
          </w:p>
          <w:p>
            <w:pPr>
              <w:pStyle w:val="23"/>
              <w:spacing w:line="360" w:lineRule="auto"/>
              <w:ind w:left="0" w:leftChars="0" w:firstLine="482" w:firstLineChars="200"/>
              <w:rPr>
                <w:rFonts w:hint="default" w:ascii="Times New Roman" w:hAnsi="Times New Roman" w:cs="Times New Roman"/>
                <w:b/>
                <w:color w:val="auto"/>
                <w:szCs w:val="24"/>
                <w:highlight w:val="none"/>
              </w:rPr>
            </w:pPr>
            <w:r>
              <w:rPr>
                <w:rFonts w:hint="default" w:ascii="Times New Roman" w:hAnsi="Times New Roman" w:cs="Times New Roman"/>
                <w:b/>
                <w:color w:val="auto"/>
                <w:szCs w:val="24"/>
                <w:highlight w:val="none"/>
              </w:rPr>
              <w:t>1.环境风险物质识别</w:t>
            </w:r>
          </w:p>
          <w:p>
            <w:pPr>
              <w:spacing w:line="360" w:lineRule="auto"/>
              <w:ind w:firstLine="480" w:firstLineChars="200"/>
              <w:jc w:val="left"/>
              <w:rPr>
                <w:rFonts w:hint="eastAsia" w:ascii="Times New Roman" w:hAnsi="Times New Roman" w:eastAsia="宋体" w:cs="Times New Roman"/>
                <w:b/>
                <w:color w:val="auto"/>
                <w:kern w:val="2"/>
                <w:sz w:val="21"/>
                <w:szCs w:val="21"/>
                <w:highlight w:val="none"/>
                <w:lang w:val="en-US" w:eastAsia="zh-CN"/>
              </w:rPr>
            </w:pPr>
            <w:r>
              <w:rPr>
                <w:rFonts w:hint="default" w:ascii="Times New Roman" w:hAnsi="Times New Roman" w:cs="Times New Roman"/>
                <w:color w:val="auto"/>
                <w:szCs w:val="24"/>
                <w:highlight w:val="none"/>
              </w:rPr>
              <w:t>对照《建设项目环境风险评价技术导则》（</w:t>
            </w:r>
            <w:r>
              <w:rPr>
                <w:rFonts w:hint="eastAsia" w:cs="Times New Roman"/>
                <w:color w:val="auto"/>
                <w:szCs w:val="24"/>
                <w:highlight w:val="none"/>
                <w:lang w:eastAsia="zh-CN"/>
              </w:rPr>
              <w:t>HJ 169-2018</w:t>
            </w:r>
            <w:r>
              <w:rPr>
                <w:rFonts w:hint="default" w:ascii="Times New Roman" w:hAnsi="Times New Roman" w:cs="Times New Roman"/>
                <w:color w:val="auto"/>
                <w:szCs w:val="24"/>
                <w:highlight w:val="none"/>
              </w:rPr>
              <w:t>）附录B中对物质危险性分类标准，本项目涉及附录B中所列风险物质为油类物质</w:t>
            </w:r>
            <w:r>
              <w:rPr>
                <w:rFonts w:hint="eastAsia" w:cs="Times New Roman"/>
                <w:color w:val="auto"/>
                <w:szCs w:val="24"/>
                <w:highlight w:val="none"/>
                <w:lang w:eastAsia="zh-CN"/>
              </w:rPr>
              <w:t>（</w:t>
            </w:r>
            <w:r>
              <w:rPr>
                <w:rFonts w:hint="eastAsia" w:cs="Times New Roman"/>
                <w:color w:val="auto"/>
                <w:szCs w:val="24"/>
                <w:highlight w:val="none"/>
                <w:lang w:val="en-US" w:eastAsia="zh-CN"/>
              </w:rPr>
              <w:t>机油、废油</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、二甲苯、</w:t>
            </w:r>
            <w:r>
              <w:rPr>
                <w:rFonts w:hint="eastAsia" w:cs="Times New Roman"/>
                <w:color w:val="auto"/>
                <w:szCs w:val="24"/>
                <w:highlight w:val="none"/>
                <w:lang w:val="en-US" w:eastAsia="zh-CN"/>
              </w:rPr>
              <w:t>乙苯、</w:t>
            </w:r>
            <w:r>
              <w:rPr>
                <w:rFonts w:hint="default" w:ascii="Times New Roman" w:hAnsi="Times New Roman" w:cs="Times New Roman"/>
                <w:bCs/>
                <w:color w:val="auto"/>
                <w:szCs w:val="21"/>
                <w:highlight w:val="none"/>
              </w:rPr>
              <w:t>危害水环境物质（</w:t>
            </w:r>
            <w:r>
              <w:rPr>
                <w:rFonts w:hint="eastAsia" w:cs="Times New Roman"/>
                <w:bCs/>
                <w:color w:val="auto"/>
                <w:szCs w:val="21"/>
                <w:highlight w:val="none"/>
                <w:lang w:val="en-US" w:eastAsia="zh-CN"/>
              </w:rPr>
              <w:t>水性漆</w:t>
            </w:r>
            <w:r>
              <w:rPr>
                <w:rFonts w:hint="default" w:ascii="Times New Roman" w:hAnsi="Times New Roman" w:cs="Times New Roman"/>
                <w:bCs/>
                <w:color w:val="auto"/>
                <w:szCs w:val="21"/>
                <w:highlight w:val="none"/>
              </w:rPr>
              <w:t>、环氧有机富锌底漆A组分</w:t>
            </w:r>
            <w:r>
              <w:rPr>
                <w:rFonts w:hint="eastAsia" w:cs="Times New Roman"/>
                <w:bCs/>
                <w:color w:val="auto"/>
                <w:szCs w:val="21"/>
                <w:highlight w:val="none"/>
                <w:lang w:eastAsia="zh-CN"/>
              </w:rPr>
              <w:t>、</w:t>
            </w:r>
            <w:r>
              <w:rPr>
                <w:rFonts w:hint="default" w:ascii="Times New Roman" w:hAnsi="Times New Roman" w:cs="Times New Roman"/>
                <w:bCs/>
                <w:color w:val="auto"/>
                <w:szCs w:val="21"/>
                <w:highlight w:val="none"/>
              </w:rPr>
              <w:t>环氧有机富锌底漆B组分</w:t>
            </w:r>
            <w:r>
              <w:rPr>
                <w:rFonts w:hint="eastAsia" w:cs="Times New Roman"/>
                <w:bCs/>
                <w:color w:val="auto"/>
                <w:szCs w:val="21"/>
                <w:highlight w:val="none"/>
                <w:lang w:eastAsia="zh-CN"/>
              </w:rPr>
              <w:t>、</w:t>
            </w:r>
            <w:r>
              <w:rPr>
                <w:rFonts w:hint="default" w:ascii="Times New Roman" w:hAnsi="Times New Roman" w:cs="Times New Roman"/>
                <w:bCs/>
                <w:color w:val="auto"/>
                <w:szCs w:val="21"/>
                <w:highlight w:val="none"/>
              </w:rPr>
              <w:t>环氧云母氧化铁漆（</w:t>
            </w:r>
            <w:r>
              <w:rPr>
                <w:rFonts w:hint="eastAsia" w:cs="Times New Roman"/>
                <w:bCs/>
                <w:color w:val="auto"/>
                <w:szCs w:val="21"/>
                <w:highlight w:val="none"/>
                <w:lang w:eastAsia="zh-CN"/>
              </w:rPr>
              <w:t>面漆</w:t>
            </w:r>
            <w:r>
              <w:rPr>
                <w:rFonts w:hint="default" w:ascii="Times New Roman" w:hAnsi="Times New Roman" w:cs="Times New Roman"/>
                <w:bCs/>
                <w:color w:val="auto"/>
                <w:szCs w:val="21"/>
                <w:highlight w:val="none"/>
              </w:rPr>
              <w:t>）A组分</w:t>
            </w:r>
            <w:r>
              <w:rPr>
                <w:rFonts w:hint="eastAsia" w:cs="Times New Roman"/>
                <w:bCs/>
                <w:color w:val="auto"/>
                <w:szCs w:val="21"/>
                <w:highlight w:val="none"/>
                <w:lang w:eastAsia="zh-CN"/>
              </w:rPr>
              <w:t>、</w:t>
            </w:r>
            <w:r>
              <w:rPr>
                <w:rFonts w:hint="default" w:ascii="Times New Roman" w:hAnsi="Times New Roman" w:cs="Times New Roman"/>
                <w:bCs/>
                <w:color w:val="auto"/>
                <w:szCs w:val="21"/>
                <w:highlight w:val="none"/>
              </w:rPr>
              <w:t>环氧云母氧化铁漆（</w:t>
            </w:r>
            <w:r>
              <w:rPr>
                <w:rFonts w:hint="eastAsia" w:cs="Times New Roman"/>
                <w:bCs/>
                <w:color w:val="auto"/>
                <w:szCs w:val="21"/>
                <w:highlight w:val="none"/>
                <w:lang w:eastAsia="zh-CN"/>
              </w:rPr>
              <w:t>面漆</w:t>
            </w:r>
            <w:r>
              <w:rPr>
                <w:rFonts w:hint="default" w:ascii="Times New Roman" w:hAnsi="Times New Roman" w:cs="Times New Roman"/>
                <w:bCs/>
                <w:color w:val="auto"/>
                <w:szCs w:val="21"/>
                <w:highlight w:val="none"/>
              </w:rPr>
              <w:t>）B组分</w:t>
            </w:r>
            <w:r>
              <w:rPr>
                <w:rFonts w:hint="eastAsia" w:cs="Times New Roman"/>
                <w:bCs/>
                <w:color w:val="auto"/>
                <w:szCs w:val="21"/>
                <w:highlight w:val="none"/>
                <w:lang w:eastAsia="zh-CN"/>
              </w:rPr>
              <w:t>、</w:t>
            </w:r>
            <w:r>
              <w:rPr>
                <w:rFonts w:hint="default" w:ascii="Times New Roman" w:hAnsi="Times New Roman" w:cs="Times New Roman"/>
                <w:bCs/>
                <w:color w:val="auto"/>
                <w:szCs w:val="21"/>
                <w:highlight w:val="none"/>
              </w:rPr>
              <w:t>稀释剂、</w:t>
            </w:r>
            <w:r>
              <w:rPr>
                <w:rFonts w:hint="eastAsia" w:cs="Times New Roman"/>
                <w:bCs/>
                <w:color w:val="auto"/>
                <w:szCs w:val="21"/>
                <w:highlight w:val="none"/>
                <w:lang w:val="en-US" w:eastAsia="zh-CN"/>
              </w:rPr>
              <w:t>切削液、废切削液</w:t>
            </w:r>
            <w:r>
              <w:rPr>
                <w:rFonts w:hint="default" w:ascii="Times New Roman" w:hAnsi="Times New Roman" w:cs="Times New Roman"/>
                <w:bCs/>
                <w:color w:val="auto"/>
                <w:szCs w:val="21"/>
                <w:highlight w:val="none"/>
              </w:rPr>
              <w:t>）、</w:t>
            </w:r>
            <w:r>
              <w:rPr>
                <w:rFonts w:hint="eastAsia" w:cs="Times New Roman"/>
                <w:bCs/>
                <w:color w:val="auto"/>
                <w:szCs w:val="21"/>
                <w:highlight w:val="none"/>
                <w:lang w:val="en-US" w:eastAsia="zh-CN"/>
              </w:rPr>
              <w:t>丙烷、</w:t>
            </w:r>
            <w:r>
              <w:rPr>
                <w:rFonts w:hint="default" w:ascii="Times New Roman" w:hAnsi="Times New Roman" w:cs="Times New Roman"/>
                <w:bCs/>
                <w:color w:val="auto"/>
                <w:szCs w:val="21"/>
                <w:highlight w:val="none"/>
              </w:rPr>
              <w:t>水帘水、水帘废水。</w:t>
            </w:r>
          </w:p>
          <w:p>
            <w:pPr>
              <w:autoSpaceDE w:val="0"/>
              <w:autoSpaceDN w:val="0"/>
              <w:jc w:val="center"/>
              <w:textAlignment w:val="bottom"/>
              <w:rPr>
                <w:rFonts w:hint="eastAsia" w:ascii="Times New Roman" w:hAnsi="Times New Roman" w:eastAsia="宋体" w:cs="Times New Roman"/>
                <w:b/>
                <w:color w:val="auto"/>
                <w:kern w:val="2"/>
                <w:sz w:val="21"/>
                <w:szCs w:val="21"/>
                <w:highlight w:val="none"/>
                <w:lang w:val="en-US" w:eastAsia="zh-CN"/>
              </w:rPr>
            </w:pPr>
            <w:r>
              <w:rPr>
                <w:rFonts w:hint="eastAsia" w:ascii="Times New Roman" w:hAnsi="Times New Roman" w:eastAsia="宋体" w:cs="Times New Roman"/>
                <w:b/>
                <w:color w:val="auto"/>
                <w:kern w:val="2"/>
                <w:sz w:val="21"/>
                <w:szCs w:val="21"/>
                <w:highlight w:val="none"/>
                <w:lang w:val="en-US" w:eastAsia="zh-CN"/>
              </w:rPr>
              <w:t>表4-34 风险物质识别表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1700"/>
              <w:gridCol w:w="1627"/>
              <w:gridCol w:w="1214"/>
              <w:gridCol w:w="1274"/>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832" w:type="pct"/>
                  <w:vMerge w:val="restar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风险物质</w:t>
                  </w:r>
                </w:p>
              </w:tc>
              <w:tc>
                <w:tcPr>
                  <w:tcW w:w="935" w:type="pct"/>
                  <w:vMerge w:val="restar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来源</w:t>
                  </w:r>
                </w:p>
              </w:tc>
              <w:tc>
                <w:tcPr>
                  <w:tcW w:w="895" w:type="pct"/>
                  <w:vMerge w:val="restar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储存规格</w:t>
                  </w:r>
                </w:p>
              </w:tc>
              <w:tc>
                <w:tcPr>
                  <w:tcW w:w="1369" w:type="pct"/>
                  <w:gridSpan w:val="2"/>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贮存量</w:t>
                  </w:r>
                </w:p>
              </w:tc>
              <w:tc>
                <w:tcPr>
                  <w:tcW w:w="966" w:type="pct"/>
                  <w:vMerge w:val="restar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储存位置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832" w:type="pct"/>
                  <w:vMerge w:val="continue"/>
                  <w:vAlign w:val="center"/>
                </w:tcPr>
                <w:p>
                  <w:pPr>
                    <w:pStyle w:val="23"/>
                    <w:jc w:val="center"/>
                    <w:rPr>
                      <w:rFonts w:hint="default" w:ascii="Times New Roman" w:hAnsi="Times New Roman" w:eastAsia="宋体" w:cs="Times New Roman"/>
                      <w:color w:val="auto"/>
                      <w:sz w:val="21"/>
                      <w:szCs w:val="21"/>
                      <w:highlight w:val="none"/>
                      <w:lang w:val="en-US" w:eastAsia="zh-CN" w:bidi="ar-SA"/>
                    </w:rPr>
                  </w:pPr>
                </w:p>
              </w:tc>
              <w:tc>
                <w:tcPr>
                  <w:tcW w:w="935" w:type="pct"/>
                  <w:vMerge w:val="continue"/>
                  <w:vAlign w:val="center"/>
                </w:tcPr>
                <w:p>
                  <w:pPr>
                    <w:pStyle w:val="23"/>
                    <w:jc w:val="center"/>
                    <w:rPr>
                      <w:rFonts w:hint="default" w:ascii="Times New Roman" w:hAnsi="Times New Roman" w:eastAsia="宋体" w:cs="Times New Roman"/>
                      <w:color w:val="auto"/>
                      <w:sz w:val="21"/>
                      <w:szCs w:val="21"/>
                      <w:highlight w:val="none"/>
                      <w:lang w:val="en-US" w:eastAsia="zh-CN" w:bidi="ar-SA"/>
                    </w:rPr>
                  </w:pPr>
                </w:p>
              </w:tc>
              <w:tc>
                <w:tcPr>
                  <w:tcW w:w="895" w:type="pct"/>
                  <w:vMerge w:val="continue"/>
                  <w:vAlign w:val="center"/>
                </w:tcPr>
                <w:p>
                  <w:pPr>
                    <w:pStyle w:val="23"/>
                    <w:jc w:val="center"/>
                    <w:rPr>
                      <w:rFonts w:hint="default" w:ascii="Times New Roman" w:hAnsi="Times New Roman" w:eastAsia="宋体" w:cs="Times New Roman"/>
                      <w:color w:val="auto"/>
                      <w:sz w:val="21"/>
                      <w:szCs w:val="21"/>
                      <w:highlight w:val="none"/>
                      <w:lang w:val="en-US" w:eastAsia="zh-CN" w:bidi="ar-SA"/>
                    </w:rPr>
                  </w:pPr>
                </w:p>
              </w:tc>
              <w:tc>
                <w:tcPr>
                  <w:tcW w:w="668"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储存量</w:t>
                  </w:r>
                </w:p>
              </w:tc>
              <w:tc>
                <w:tcPr>
                  <w:tcW w:w="701"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折纯量</w:t>
                  </w:r>
                </w:p>
              </w:tc>
              <w:tc>
                <w:tcPr>
                  <w:tcW w:w="966" w:type="pct"/>
                  <w:vMerge w:val="continue"/>
                  <w:vAlign w:val="center"/>
                </w:tcPr>
                <w:p>
                  <w:pPr>
                    <w:pStyle w:val="23"/>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restar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油类物质</w:t>
                  </w:r>
                </w:p>
              </w:tc>
              <w:tc>
                <w:tcPr>
                  <w:tcW w:w="935"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机</w:t>
                  </w:r>
                  <w:r>
                    <w:rPr>
                      <w:rFonts w:hint="eastAsia" w:ascii="Times New Roman" w:hAnsi="Times New Roman" w:eastAsia="宋体" w:cs="Times New Roman"/>
                      <w:color w:val="auto"/>
                      <w:sz w:val="21"/>
                      <w:szCs w:val="21"/>
                      <w:highlight w:val="none"/>
                      <w:lang w:val="en-US" w:eastAsia="zh-CN" w:bidi="ar-SA"/>
                    </w:rPr>
                    <w:t>油</w:t>
                  </w:r>
                </w:p>
              </w:tc>
              <w:tc>
                <w:tcPr>
                  <w:tcW w:w="895" w:type="pct"/>
                  <w:vAlign w:val="center"/>
                </w:tcPr>
                <w:p>
                  <w:pPr>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w:t>
                  </w:r>
                  <w:r>
                    <w:rPr>
                      <w:rFonts w:hint="eastAsia" w:cs="Times New Roman"/>
                      <w:color w:val="auto"/>
                      <w:sz w:val="21"/>
                      <w:szCs w:val="21"/>
                      <w:highlight w:val="none"/>
                      <w:lang w:val="en-US" w:eastAsia="zh-CN" w:bidi="ar-SA"/>
                    </w:rPr>
                    <w:t>0</w:t>
                  </w:r>
                  <w:r>
                    <w:rPr>
                      <w:rFonts w:hint="default" w:ascii="Times New Roman" w:hAnsi="Times New Roman" w:eastAsia="宋体" w:cs="Times New Roman"/>
                      <w:color w:val="auto"/>
                      <w:sz w:val="21"/>
                      <w:szCs w:val="21"/>
                      <w:highlight w:val="none"/>
                      <w:lang w:val="en-US" w:eastAsia="zh-CN" w:bidi="ar-SA"/>
                    </w:rPr>
                    <w:t>kg/桶</w:t>
                  </w:r>
                </w:p>
              </w:tc>
              <w:tc>
                <w:tcPr>
                  <w:tcW w:w="668"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0.2</w:t>
                  </w:r>
                  <w:r>
                    <w:rPr>
                      <w:rFonts w:hint="eastAsia" w:cs="Times New Roman"/>
                      <w:color w:val="auto"/>
                      <w:sz w:val="21"/>
                      <w:szCs w:val="21"/>
                      <w:highlight w:val="none"/>
                      <w:lang w:val="en-US" w:eastAsia="zh-CN" w:bidi="ar-SA"/>
                    </w:rPr>
                    <w:t>t</w:t>
                  </w:r>
                </w:p>
              </w:tc>
              <w:tc>
                <w:tcPr>
                  <w:tcW w:w="701"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0.2</w:t>
                  </w:r>
                  <w:r>
                    <w:rPr>
                      <w:rFonts w:hint="eastAsia" w:cs="Times New Roman"/>
                      <w:color w:val="auto"/>
                      <w:sz w:val="21"/>
                      <w:szCs w:val="21"/>
                      <w:highlight w:val="none"/>
                      <w:lang w:val="en-US" w:eastAsia="zh-CN" w:bidi="ar-SA"/>
                    </w:rPr>
                    <w:t>t</w:t>
                  </w:r>
                </w:p>
              </w:tc>
              <w:tc>
                <w:tcPr>
                  <w:tcW w:w="966"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原料</w:t>
                  </w:r>
                  <w:r>
                    <w:rPr>
                      <w:rFonts w:hint="eastAsia" w:cs="Times New Roman"/>
                      <w:color w:val="auto"/>
                      <w:sz w:val="21"/>
                      <w:szCs w:val="21"/>
                      <w:highlight w:val="none"/>
                      <w:lang w:val="en-US" w:eastAsia="zh-CN" w:bidi="ar-SA"/>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p>
              </w:tc>
              <w:tc>
                <w:tcPr>
                  <w:tcW w:w="935"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废油</w:t>
                  </w:r>
                </w:p>
              </w:tc>
              <w:tc>
                <w:tcPr>
                  <w:tcW w:w="895" w:type="pct"/>
                  <w:vAlign w:val="center"/>
                </w:tcPr>
                <w:p>
                  <w:pPr>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20kg/桶</w:t>
                  </w:r>
                </w:p>
              </w:tc>
              <w:tc>
                <w:tcPr>
                  <w:tcW w:w="668"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0.025t</w:t>
                  </w:r>
                </w:p>
              </w:tc>
              <w:tc>
                <w:tcPr>
                  <w:tcW w:w="701"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0.025t</w:t>
                  </w:r>
                </w:p>
              </w:tc>
              <w:tc>
                <w:tcPr>
                  <w:tcW w:w="966"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restar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二甲苯</w:t>
                  </w:r>
                </w:p>
              </w:tc>
              <w:tc>
                <w:tcPr>
                  <w:tcW w:w="935"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环氧有机富锌底漆A组分</w:t>
                  </w:r>
                </w:p>
              </w:tc>
              <w:tc>
                <w:tcPr>
                  <w:tcW w:w="895" w:type="pct"/>
                  <w:vAlign w:val="center"/>
                </w:tcPr>
                <w:p>
                  <w:pPr>
                    <w:spacing w:line="360" w:lineRule="auto"/>
                    <w:jc w:val="center"/>
                    <w:rPr>
                      <w:rFonts w:hint="eastAsia" w:ascii="Times New Roman" w:hAnsi="Times New Roman" w:eastAsia="宋体" w:cs="Times New Roman"/>
                      <w:color w:val="auto"/>
                      <w:sz w:val="21"/>
                      <w:szCs w:val="21"/>
                      <w:highlight w:val="none"/>
                      <w:lang w:val="en-US" w:eastAsia="zh-CN" w:bidi="ar-SA"/>
                    </w:rPr>
                  </w:pPr>
                  <w:r>
                    <w:rPr>
                      <w:rFonts w:ascii="Times New Roman" w:hAnsi="Times New Roman" w:cs="Times New Roman" w:eastAsiaTheme="minorEastAsia"/>
                      <w:color w:val="auto"/>
                      <w:sz w:val="21"/>
                      <w:szCs w:val="21"/>
                      <w:highlight w:val="none"/>
                    </w:rPr>
                    <w:t>8L/桶</w:t>
                  </w:r>
                </w:p>
              </w:tc>
              <w:tc>
                <w:tcPr>
                  <w:tcW w:w="668"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701"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0.01t</w:t>
                  </w:r>
                </w:p>
              </w:tc>
              <w:tc>
                <w:tcPr>
                  <w:tcW w:w="966" w:type="pct"/>
                  <w:vMerge w:val="restart"/>
                  <w:vAlign w:val="center"/>
                </w:tcPr>
                <w:p>
                  <w:pPr>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漆料间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环氧有机富锌底漆B组分</w:t>
                  </w:r>
                </w:p>
              </w:tc>
              <w:tc>
                <w:tcPr>
                  <w:tcW w:w="895" w:type="pct"/>
                  <w:vAlign w:val="center"/>
                </w:tcPr>
                <w:p>
                  <w:pPr>
                    <w:spacing w:line="360" w:lineRule="auto"/>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s="Times New Roman" w:eastAsiaTheme="minorEastAsia"/>
                      <w:color w:val="auto"/>
                      <w:sz w:val="21"/>
                      <w:szCs w:val="21"/>
                      <w:highlight w:val="none"/>
                    </w:rPr>
                    <w:t>4L/桶</w:t>
                  </w:r>
                </w:p>
              </w:tc>
              <w:tc>
                <w:tcPr>
                  <w:tcW w:w="668"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701"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0.05t</w:t>
                  </w:r>
                </w:p>
              </w:tc>
              <w:tc>
                <w:tcPr>
                  <w:tcW w:w="966" w:type="pct"/>
                  <w:vMerge w:val="continue"/>
                  <w:vAlign w:val="center"/>
                </w:tcPr>
                <w:p>
                  <w:pPr>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2" w:type="pct"/>
                  <w:vMerge w:val="continue"/>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环氧云母氧化铁漆A组分</w:t>
                  </w:r>
                </w:p>
              </w:tc>
              <w:tc>
                <w:tcPr>
                  <w:tcW w:w="895" w:type="pct"/>
                  <w:vAlign w:val="center"/>
                </w:tcPr>
                <w:p>
                  <w:pPr>
                    <w:spacing w:line="360" w:lineRule="auto"/>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s="Times New Roman" w:eastAsiaTheme="minorEastAsia"/>
                      <w:color w:val="auto"/>
                      <w:sz w:val="21"/>
                      <w:szCs w:val="21"/>
                      <w:highlight w:val="none"/>
                    </w:rPr>
                    <w:t>16L/桶</w:t>
                  </w:r>
                </w:p>
              </w:tc>
              <w:tc>
                <w:tcPr>
                  <w:tcW w:w="668"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701"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0.01t</w:t>
                  </w:r>
                </w:p>
              </w:tc>
              <w:tc>
                <w:tcPr>
                  <w:tcW w:w="966" w:type="pct"/>
                  <w:vMerge w:val="continue"/>
                  <w:vAlign w:val="center"/>
                </w:tcPr>
                <w:p>
                  <w:pPr>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p>
              </w:tc>
              <w:tc>
                <w:tcPr>
                  <w:tcW w:w="935" w:type="pct"/>
                  <w:vAlign w:val="center"/>
                </w:tcPr>
                <w:p>
                  <w:pPr>
                    <w:pStyle w:val="23"/>
                    <w:ind w:left="0" w:leftChars="0"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环氧云母氧化铁漆B组分</w:t>
                  </w:r>
                </w:p>
              </w:tc>
              <w:tc>
                <w:tcPr>
                  <w:tcW w:w="895" w:type="pct"/>
                  <w:vAlign w:val="center"/>
                </w:tcPr>
                <w:p>
                  <w:pPr>
                    <w:spacing w:line="360" w:lineRule="auto"/>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s="Times New Roman" w:eastAsiaTheme="minorEastAsia"/>
                      <w:color w:val="auto"/>
                      <w:sz w:val="21"/>
                      <w:szCs w:val="21"/>
                      <w:highlight w:val="none"/>
                    </w:rPr>
                    <w:t>4L/桶</w:t>
                  </w:r>
                </w:p>
              </w:tc>
              <w:tc>
                <w:tcPr>
                  <w:tcW w:w="668"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701"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0.015t</w:t>
                  </w:r>
                </w:p>
              </w:tc>
              <w:tc>
                <w:tcPr>
                  <w:tcW w:w="966" w:type="pct"/>
                  <w:vMerge w:val="continue"/>
                  <w:vAlign w:val="center"/>
                </w:tcPr>
                <w:p>
                  <w:pPr>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稀释剂</w:t>
                  </w:r>
                </w:p>
              </w:tc>
              <w:tc>
                <w:tcPr>
                  <w:tcW w:w="895"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2</w:t>
                  </w:r>
                  <w:r>
                    <w:rPr>
                      <w:rFonts w:ascii="Times New Roman" w:hAnsi="Times New Roman" w:cs="Times New Roman" w:eastAsiaTheme="minorEastAsia"/>
                      <w:color w:val="auto"/>
                      <w:sz w:val="21"/>
                      <w:szCs w:val="21"/>
                      <w:highlight w:val="none"/>
                    </w:rPr>
                    <w:t>L/桶</w:t>
                  </w:r>
                </w:p>
              </w:tc>
              <w:tc>
                <w:tcPr>
                  <w:tcW w:w="668"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701"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0.05t</w:t>
                  </w:r>
                </w:p>
              </w:tc>
              <w:tc>
                <w:tcPr>
                  <w:tcW w:w="966" w:type="pct"/>
                  <w:vMerge w:val="continue"/>
                  <w:vAlign w:val="center"/>
                </w:tcPr>
                <w:p>
                  <w:pPr>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restar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乙苯</w:t>
                  </w: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环氧有机富锌底漆A组分</w:t>
                  </w:r>
                </w:p>
              </w:tc>
              <w:tc>
                <w:tcPr>
                  <w:tcW w:w="895" w:type="pct"/>
                  <w:vAlign w:val="center"/>
                </w:tcPr>
                <w:p>
                  <w:pPr>
                    <w:spacing w:line="360" w:lineRule="auto"/>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s="Times New Roman" w:eastAsiaTheme="minorEastAsia"/>
                      <w:color w:val="auto"/>
                      <w:sz w:val="21"/>
                      <w:szCs w:val="21"/>
                      <w:highlight w:val="none"/>
                    </w:rPr>
                    <w:t>8L/桶</w:t>
                  </w:r>
                </w:p>
              </w:tc>
              <w:tc>
                <w:tcPr>
                  <w:tcW w:w="668"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701"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0.0024t</w:t>
                  </w:r>
                </w:p>
              </w:tc>
              <w:tc>
                <w:tcPr>
                  <w:tcW w:w="966" w:type="pct"/>
                  <w:vMerge w:val="continue"/>
                  <w:vAlign w:val="center"/>
                </w:tcPr>
                <w:p>
                  <w:pPr>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环氧有机富锌底漆B组分</w:t>
                  </w:r>
                </w:p>
              </w:tc>
              <w:tc>
                <w:tcPr>
                  <w:tcW w:w="895" w:type="pct"/>
                  <w:vAlign w:val="center"/>
                </w:tcPr>
                <w:p>
                  <w:pPr>
                    <w:spacing w:line="360" w:lineRule="auto"/>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s="Times New Roman" w:eastAsiaTheme="minorEastAsia"/>
                      <w:color w:val="auto"/>
                      <w:sz w:val="21"/>
                      <w:szCs w:val="21"/>
                      <w:highlight w:val="none"/>
                    </w:rPr>
                    <w:t>4L/桶</w:t>
                  </w:r>
                </w:p>
              </w:tc>
              <w:tc>
                <w:tcPr>
                  <w:tcW w:w="668"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701"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0.01t</w:t>
                  </w:r>
                </w:p>
              </w:tc>
              <w:tc>
                <w:tcPr>
                  <w:tcW w:w="966" w:type="pct"/>
                  <w:vMerge w:val="continue"/>
                  <w:vAlign w:val="center"/>
                </w:tcPr>
                <w:p>
                  <w:pPr>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环氧云母氧化铁漆A组分</w:t>
                  </w:r>
                </w:p>
              </w:tc>
              <w:tc>
                <w:tcPr>
                  <w:tcW w:w="895" w:type="pct"/>
                  <w:vAlign w:val="center"/>
                </w:tcPr>
                <w:p>
                  <w:pPr>
                    <w:spacing w:line="360" w:lineRule="auto"/>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s="Times New Roman" w:eastAsiaTheme="minorEastAsia"/>
                      <w:color w:val="auto"/>
                      <w:sz w:val="21"/>
                      <w:szCs w:val="21"/>
                      <w:highlight w:val="none"/>
                    </w:rPr>
                    <w:t>16L/桶</w:t>
                  </w:r>
                </w:p>
              </w:tc>
              <w:tc>
                <w:tcPr>
                  <w:tcW w:w="668"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701"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0.0019t</w:t>
                  </w:r>
                </w:p>
              </w:tc>
              <w:tc>
                <w:tcPr>
                  <w:tcW w:w="966" w:type="pct"/>
                  <w:vMerge w:val="continue"/>
                  <w:vAlign w:val="center"/>
                </w:tcPr>
                <w:p>
                  <w:pPr>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环氧云母氧化铁漆B组分</w:t>
                  </w:r>
                </w:p>
              </w:tc>
              <w:tc>
                <w:tcPr>
                  <w:tcW w:w="895" w:type="pct"/>
                  <w:vAlign w:val="center"/>
                </w:tcPr>
                <w:p>
                  <w:pPr>
                    <w:spacing w:line="360" w:lineRule="auto"/>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s="Times New Roman" w:eastAsiaTheme="minorEastAsia"/>
                      <w:color w:val="auto"/>
                      <w:sz w:val="21"/>
                      <w:szCs w:val="21"/>
                      <w:highlight w:val="none"/>
                    </w:rPr>
                    <w:t>4L/桶</w:t>
                  </w:r>
                </w:p>
              </w:tc>
              <w:tc>
                <w:tcPr>
                  <w:tcW w:w="668"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701"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0.0027t</w:t>
                  </w:r>
                </w:p>
              </w:tc>
              <w:tc>
                <w:tcPr>
                  <w:tcW w:w="966" w:type="pct"/>
                  <w:vMerge w:val="continue"/>
                  <w:vAlign w:val="center"/>
                </w:tcPr>
                <w:p>
                  <w:pPr>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Merge w:val="continue"/>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稀释剂</w:t>
                  </w:r>
                </w:p>
              </w:tc>
              <w:tc>
                <w:tcPr>
                  <w:tcW w:w="895"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2</w:t>
                  </w:r>
                  <w:r>
                    <w:rPr>
                      <w:rFonts w:ascii="Times New Roman" w:hAnsi="Times New Roman" w:cs="Times New Roman" w:eastAsiaTheme="minorEastAsia"/>
                      <w:color w:val="auto"/>
                      <w:sz w:val="21"/>
                      <w:szCs w:val="21"/>
                      <w:highlight w:val="none"/>
                    </w:rPr>
                    <w:t>L/桶</w:t>
                  </w:r>
                </w:p>
              </w:tc>
              <w:tc>
                <w:tcPr>
                  <w:tcW w:w="668"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701"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0.01t</w:t>
                  </w:r>
                </w:p>
              </w:tc>
              <w:tc>
                <w:tcPr>
                  <w:tcW w:w="966" w:type="pct"/>
                  <w:vMerge w:val="continue"/>
                  <w:vAlign w:val="center"/>
                </w:tcPr>
                <w:p>
                  <w:pPr>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水性漆</w:t>
                  </w: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水性漆</w:t>
                  </w:r>
                </w:p>
              </w:tc>
              <w:tc>
                <w:tcPr>
                  <w:tcW w:w="895" w:type="pct"/>
                  <w:vAlign w:val="center"/>
                </w:tcPr>
                <w:p>
                  <w:pPr>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w:t>
                  </w:r>
                  <w:r>
                    <w:rPr>
                      <w:rFonts w:hint="eastAsia" w:cs="Times New Roman"/>
                      <w:color w:val="auto"/>
                      <w:sz w:val="21"/>
                      <w:szCs w:val="21"/>
                      <w:highlight w:val="none"/>
                      <w:lang w:val="en-US" w:eastAsia="zh-CN" w:bidi="ar-SA"/>
                    </w:rPr>
                    <w:t>5</w:t>
                  </w:r>
                  <w:r>
                    <w:rPr>
                      <w:rFonts w:hint="default" w:ascii="Times New Roman" w:hAnsi="Times New Roman" w:eastAsia="宋体" w:cs="Times New Roman"/>
                      <w:color w:val="auto"/>
                      <w:sz w:val="21"/>
                      <w:szCs w:val="21"/>
                      <w:highlight w:val="none"/>
                      <w:lang w:val="en-US" w:eastAsia="zh-CN" w:bidi="ar-SA"/>
                    </w:rPr>
                    <w:t>kg/桶</w:t>
                  </w:r>
                </w:p>
              </w:tc>
              <w:tc>
                <w:tcPr>
                  <w:tcW w:w="668" w:type="pct"/>
                  <w:vAlign w:val="center"/>
                </w:tcPr>
                <w:p>
                  <w:pPr>
                    <w:jc w:val="center"/>
                    <w:rPr>
                      <w:rFonts w:hint="default"/>
                      <w:color w:val="auto"/>
                      <w:highlight w:val="none"/>
                      <w:lang w:val="en-US" w:eastAsia="zh-CN"/>
                    </w:rPr>
                  </w:pPr>
                  <w:r>
                    <w:rPr>
                      <w:rFonts w:hint="eastAsia" w:ascii="Times New Roman" w:hAnsi="Times New Roman" w:eastAsia="宋体" w:cs="Times New Roman"/>
                      <w:color w:val="auto"/>
                      <w:sz w:val="21"/>
                      <w:szCs w:val="21"/>
                      <w:highlight w:val="none"/>
                      <w:lang w:val="en-US" w:eastAsia="zh-CN" w:bidi="ar-SA"/>
                    </w:rPr>
                    <w:t>0.</w:t>
                  </w:r>
                  <w:r>
                    <w:rPr>
                      <w:rFonts w:hint="eastAsia" w:cs="Times New Roman"/>
                      <w:color w:val="auto"/>
                      <w:sz w:val="21"/>
                      <w:szCs w:val="21"/>
                      <w:highlight w:val="none"/>
                      <w:lang w:val="en-US" w:eastAsia="zh-CN" w:bidi="ar-SA"/>
                    </w:rPr>
                    <w:t>5t</w:t>
                  </w:r>
                </w:p>
              </w:tc>
              <w:tc>
                <w:tcPr>
                  <w:tcW w:w="701" w:type="pct"/>
                  <w:vAlign w:val="center"/>
                </w:tcPr>
                <w:p>
                  <w:pPr>
                    <w:jc w:val="center"/>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0.5t</w:t>
                  </w:r>
                </w:p>
              </w:tc>
              <w:tc>
                <w:tcPr>
                  <w:tcW w:w="966" w:type="pct"/>
                  <w:vMerge w:val="continue"/>
                  <w:vAlign w:val="center"/>
                </w:tcPr>
                <w:p>
                  <w:pPr>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环氧有机富锌底漆A组分</w:t>
                  </w: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环氧有机富锌底漆A组分</w:t>
                  </w:r>
                </w:p>
              </w:tc>
              <w:tc>
                <w:tcPr>
                  <w:tcW w:w="895" w:type="pct"/>
                  <w:vAlign w:val="center"/>
                </w:tcPr>
                <w:p>
                  <w:pPr>
                    <w:spacing w:line="360" w:lineRule="auto"/>
                    <w:jc w:val="center"/>
                    <w:rPr>
                      <w:rFonts w:hint="eastAsia" w:ascii="Times New Roman" w:hAnsi="Times New Roman" w:eastAsia="宋体" w:cs="Times New Roman"/>
                      <w:color w:val="auto"/>
                      <w:sz w:val="21"/>
                      <w:szCs w:val="21"/>
                      <w:highlight w:val="none"/>
                      <w:lang w:val="en-US" w:eastAsia="zh-CN" w:bidi="ar-SA"/>
                    </w:rPr>
                  </w:pPr>
                  <w:r>
                    <w:rPr>
                      <w:rFonts w:ascii="Times New Roman" w:hAnsi="Times New Roman" w:cs="Times New Roman" w:eastAsiaTheme="minorEastAsia"/>
                      <w:color w:val="auto"/>
                      <w:sz w:val="21"/>
                      <w:szCs w:val="21"/>
                      <w:highlight w:val="none"/>
                    </w:rPr>
                    <w:t>8L/桶</w:t>
                  </w:r>
                </w:p>
              </w:tc>
              <w:tc>
                <w:tcPr>
                  <w:tcW w:w="668"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701"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966" w:type="pct"/>
                  <w:vMerge w:val="continue"/>
                  <w:vAlign w:val="center"/>
                </w:tcPr>
                <w:p>
                  <w:pPr>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环氧有机富锌底漆B组分</w:t>
                  </w: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环氧有机富锌底漆B组分</w:t>
                  </w:r>
                </w:p>
              </w:tc>
              <w:tc>
                <w:tcPr>
                  <w:tcW w:w="895" w:type="pct"/>
                  <w:vAlign w:val="center"/>
                </w:tcPr>
                <w:p>
                  <w:pPr>
                    <w:spacing w:line="360" w:lineRule="auto"/>
                    <w:jc w:val="center"/>
                    <w:rPr>
                      <w:rFonts w:hint="eastAsia" w:ascii="Times New Roman" w:hAnsi="Times New Roman" w:eastAsia="宋体" w:cs="Times New Roman"/>
                      <w:color w:val="auto"/>
                      <w:sz w:val="21"/>
                      <w:szCs w:val="21"/>
                      <w:highlight w:val="none"/>
                      <w:lang w:val="en-US" w:eastAsia="zh-CN" w:bidi="ar-SA"/>
                    </w:rPr>
                  </w:pPr>
                  <w:r>
                    <w:rPr>
                      <w:rFonts w:ascii="Times New Roman" w:hAnsi="Times New Roman" w:cs="Times New Roman" w:eastAsiaTheme="minorEastAsia"/>
                      <w:color w:val="auto"/>
                      <w:sz w:val="21"/>
                      <w:szCs w:val="21"/>
                      <w:highlight w:val="none"/>
                    </w:rPr>
                    <w:t>4L/桶</w:t>
                  </w:r>
                </w:p>
              </w:tc>
              <w:tc>
                <w:tcPr>
                  <w:tcW w:w="668"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701"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966" w:type="pct"/>
                  <w:vMerge w:val="continue"/>
                  <w:vAlign w:val="center"/>
                </w:tcPr>
                <w:p>
                  <w:pPr>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环氧云母氧化铁漆（</w:t>
                  </w:r>
                  <w:r>
                    <w:rPr>
                      <w:rFonts w:hint="eastAsia" w:cs="Times New Roman"/>
                      <w:color w:val="auto"/>
                      <w:sz w:val="21"/>
                      <w:szCs w:val="21"/>
                      <w:highlight w:val="none"/>
                      <w:lang w:val="en-US" w:eastAsia="zh-CN" w:bidi="ar-SA"/>
                    </w:rPr>
                    <w:t>面漆</w:t>
                  </w:r>
                  <w:r>
                    <w:rPr>
                      <w:rFonts w:hint="eastAsia" w:ascii="Times New Roman" w:hAnsi="Times New Roman" w:eastAsia="宋体" w:cs="Times New Roman"/>
                      <w:color w:val="auto"/>
                      <w:sz w:val="21"/>
                      <w:szCs w:val="21"/>
                      <w:highlight w:val="none"/>
                      <w:lang w:val="en-US" w:eastAsia="zh-CN" w:bidi="ar-SA"/>
                    </w:rPr>
                    <w:t>）A组分</w:t>
                  </w: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环氧云母氧化铁漆（</w:t>
                  </w:r>
                  <w:r>
                    <w:rPr>
                      <w:rFonts w:hint="eastAsia" w:cs="Times New Roman"/>
                      <w:color w:val="auto"/>
                      <w:sz w:val="21"/>
                      <w:szCs w:val="21"/>
                      <w:highlight w:val="none"/>
                      <w:lang w:val="en-US" w:eastAsia="zh-CN" w:bidi="ar-SA"/>
                    </w:rPr>
                    <w:t>面漆</w:t>
                  </w:r>
                  <w:r>
                    <w:rPr>
                      <w:rFonts w:hint="eastAsia" w:ascii="Times New Roman" w:hAnsi="Times New Roman" w:eastAsia="宋体" w:cs="Times New Roman"/>
                      <w:color w:val="auto"/>
                      <w:sz w:val="21"/>
                      <w:szCs w:val="21"/>
                      <w:highlight w:val="none"/>
                      <w:lang w:val="en-US" w:eastAsia="zh-CN" w:bidi="ar-SA"/>
                    </w:rPr>
                    <w:t>）A组分</w:t>
                  </w:r>
                </w:p>
              </w:tc>
              <w:tc>
                <w:tcPr>
                  <w:tcW w:w="895" w:type="pct"/>
                  <w:vAlign w:val="center"/>
                </w:tcPr>
                <w:p>
                  <w:pPr>
                    <w:spacing w:line="360" w:lineRule="auto"/>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s="Times New Roman" w:eastAsiaTheme="minorEastAsia"/>
                      <w:color w:val="auto"/>
                      <w:sz w:val="21"/>
                      <w:szCs w:val="21"/>
                      <w:highlight w:val="none"/>
                    </w:rPr>
                    <w:t>16L/桶</w:t>
                  </w:r>
                </w:p>
              </w:tc>
              <w:tc>
                <w:tcPr>
                  <w:tcW w:w="668"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701"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966" w:type="pct"/>
                  <w:vMerge w:val="continue"/>
                  <w:vAlign w:val="center"/>
                </w:tcPr>
                <w:p>
                  <w:pPr>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环氧云母氧化铁漆（</w:t>
                  </w:r>
                  <w:r>
                    <w:rPr>
                      <w:rFonts w:hint="eastAsia" w:cs="Times New Roman"/>
                      <w:color w:val="auto"/>
                      <w:sz w:val="21"/>
                      <w:szCs w:val="21"/>
                      <w:highlight w:val="none"/>
                      <w:lang w:val="en-US" w:eastAsia="zh-CN" w:bidi="ar-SA"/>
                    </w:rPr>
                    <w:t>面漆</w:t>
                  </w:r>
                  <w:r>
                    <w:rPr>
                      <w:rFonts w:hint="eastAsia" w:ascii="Times New Roman" w:hAnsi="Times New Roman" w:eastAsia="宋体" w:cs="Times New Roman"/>
                      <w:color w:val="auto"/>
                      <w:sz w:val="21"/>
                      <w:szCs w:val="21"/>
                      <w:highlight w:val="none"/>
                      <w:lang w:val="en-US" w:eastAsia="zh-CN" w:bidi="ar-SA"/>
                    </w:rPr>
                    <w:t>）B组分</w:t>
                  </w: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环氧云母氧化铁漆（</w:t>
                  </w:r>
                  <w:r>
                    <w:rPr>
                      <w:rFonts w:hint="eastAsia" w:cs="Times New Roman"/>
                      <w:color w:val="auto"/>
                      <w:sz w:val="21"/>
                      <w:szCs w:val="21"/>
                      <w:highlight w:val="none"/>
                      <w:lang w:val="en-US" w:eastAsia="zh-CN" w:bidi="ar-SA"/>
                    </w:rPr>
                    <w:t>面漆</w:t>
                  </w:r>
                  <w:r>
                    <w:rPr>
                      <w:rFonts w:hint="eastAsia" w:ascii="Times New Roman" w:hAnsi="Times New Roman" w:eastAsia="宋体" w:cs="Times New Roman"/>
                      <w:color w:val="auto"/>
                      <w:sz w:val="21"/>
                      <w:szCs w:val="21"/>
                      <w:highlight w:val="none"/>
                      <w:lang w:val="en-US" w:eastAsia="zh-CN" w:bidi="ar-SA"/>
                    </w:rPr>
                    <w:t>）B组分</w:t>
                  </w:r>
                </w:p>
              </w:tc>
              <w:tc>
                <w:tcPr>
                  <w:tcW w:w="895" w:type="pct"/>
                  <w:vAlign w:val="center"/>
                </w:tcPr>
                <w:p>
                  <w:pPr>
                    <w:spacing w:line="360" w:lineRule="auto"/>
                    <w:jc w:val="center"/>
                    <w:rPr>
                      <w:rFonts w:hint="default" w:ascii="Times New Roman" w:hAnsi="Times New Roman" w:eastAsia="宋体" w:cs="Times New Roman"/>
                      <w:color w:val="auto"/>
                      <w:sz w:val="21"/>
                      <w:szCs w:val="21"/>
                      <w:highlight w:val="none"/>
                      <w:lang w:val="en-US" w:eastAsia="zh-CN" w:bidi="ar-SA"/>
                    </w:rPr>
                  </w:pPr>
                  <w:r>
                    <w:rPr>
                      <w:rFonts w:ascii="Times New Roman" w:hAnsi="Times New Roman" w:cs="Times New Roman" w:eastAsiaTheme="minorEastAsia"/>
                      <w:color w:val="auto"/>
                      <w:sz w:val="21"/>
                      <w:szCs w:val="21"/>
                      <w:highlight w:val="none"/>
                    </w:rPr>
                    <w:t>4L/桶</w:t>
                  </w:r>
                </w:p>
              </w:tc>
              <w:tc>
                <w:tcPr>
                  <w:tcW w:w="668"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701"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966" w:type="pct"/>
                  <w:vMerge w:val="continue"/>
                  <w:vAlign w:val="center"/>
                </w:tcPr>
                <w:p>
                  <w:pPr>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稀释剂</w:t>
                  </w: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稀释剂</w:t>
                  </w:r>
                </w:p>
              </w:tc>
              <w:tc>
                <w:tcPr>
                  <w:tcW w:w="895"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eastAsiaTheme="minorEastAsia"/>
                      <w:color w:val="auto"/>
                      <w:sz w:val="21"/>
                      <w:szCs w:val="21"/>
                      <w:highlight w:val="none"/>
                      <w:lang w:val="en-US" w:eastAsia="zh-CN"/>
                    </w:rPr>
                    <w:t>2</w:t>
                  </w:r>
                  <w:r>
                    <w:rPr>
                      <w:rFonts w:ascii="Times New Roman" w:hAnsi="Times New Roman" w:cs="Times New Roman" w:eastAsiaTheme="minorEastAsia"/>
                      <w:color w:val="auto"/>
                      <w:sz w:val="21"/>
                      <w:szCs w:val="21"/>
                      <w:highlight w:val="none"/>
                    </w:rPr>
                    <w:t>L/桶</w:t>
                  </w:r>
                </w:p>
              </w:tc>
              <w:tc>
                <w:tcPr>
                  <w:tcW w:w="668"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701" w:type="pct"/>
                  <w:vAlign w:val="center"/>
                </w:tcPr>
                <w:p>
                  <w:pPr>
                    <w:pStyle w:val="42"/>
                    <w:keepNext w:val="0"/>
                    <w:keepLines w:val="0"/>
                    <w:suppressLineNumbers w:val="0"/>
                    <w:spacing w:before="0" w:beforeAutospacing="0" w:after="0" w:afterAutospacing="0" w:line="400" w:lineRule="exact"/>
                    <w:ind w:left="0" w:leftChars="0" w:right="0" w:righ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0.1t</w:t>
                  </w:r>
                </w:p>
              </w:tc>
              <w:tc>
                <w:tcPr>
                  <w:tcW w:w="966" w:type="pct"/>
                  <w:vMerge w:val="continue"/>
                  <w:vAlign w:val="center"/>
                </w:tcPr>
                <w:p>
                  <w:pPr>
                    <w:jc w:val="center"/>
                    <w:rPr>
                      <w:rFonts w:hint="eastAsia" w:ascii="Times New Roman" w:hAnsi="Times New Roman" w:eastAsia="宋体" w:cs="Times New Roman"/>
                      <w:color w:val="auto"/>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切削液</w:t>
                  </w:r>
                </w:p>
              </w:tc>
              <w:tc>
                <w:tcPr>
                  <w:tcW w:w="935"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切削液</w:t>
                  </w:r>
                </w:p>
              </w:tc>
              <w:tc>
                <w:tcPr>
                  <w:tcW w:w="895" w:type="pct"/>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5kg/桶</w:t>
                  </w:r>
                </w:p>
              </w:tc>
              <w:tc>
                <w:tcPr>
                  <w:tcW w:w="668" w:type="pct"/>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0.02t</w:t>
                  </w:r>
                </w:p>
              </w:tc>
              <w:tc>
                <w:tcPr>
                  <w:tcW w:w="701" w:type="pct"/>
                  <w:vAlign w:val="center"/>
                </w:tcPr>
                <w:p>
                  <w:pPr>
                    <w:jc w:val="center"/>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0.02t</w:t>
                  </w:r>
                </w:p>
              </w:tc>
              <w:tc>
                <w:tcPr>
                  <w:tcW w:w="966" w:type="pct"/>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废切削液</w:t>
                  </w: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废切削液</w:t>
                  </w:r>
                </w:p>
              </w:tc>
              <w:tc>
                <w:tcPr>
                  <w:tcW w:w="895" w:type="pct"/>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200L</w:t>
                  </w:r>
                  <w:r>
                    <w:rPr>
                      <w:rFonts w:hint="default" w:ascii="Times New Roman" w:hAnsi="Times New Roman" w:eastAsia="宋体" w:cs="Times New Roman"/>
                      <w:color w:val="auto"/>
                      <w:kern w:val="0"/>
                      <w:sz w:val="21"/>
                      <w:szCs w:val="21"/>
                      <w:highlight w:val="none"/>
                      <w:lang w:val="en-US" w:eastAsia="zh-CN" w:bidi="ar-SA"/>
                    </w:rPr>
                    <w:t>/桶</w:t>
                  </w:r>
                </w:p>
              </w:tc>
              <w:tc>
                <w:tcPr>
                  <w:tcW w:w="668" w:type="pct"/>
                  <w:vAlign w:val="center"/>
                </w:tcPr>
                <w:p>
                  <w:pPr>
                    <w:jc w:val="center"/>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0.8t</w:t>
                  </w:r>
                </w:p>
              </w:tc>
              <w:tc>
                <w:tcPr>
                  <w:tcW w:w="701" w:type="pct"/>
                  <w:vAlign w:val="center"/>
                </w:tcPr>
                <w:p>
                  <w:pPr>
                    <w:jc w:val="center"/>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0.8t</w:t>
                  </w:r>
                </w:p>
              </w:tc>
              <w:tc>
                <w:tcPr>
                  <w:tcW w:w="966" w:type="pct"/>
                  <w:vAlign w:val="center"/>
                </w:tcPr>
                <w:p>
                  <w:pPr>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丙烷</w:t>
                  </w:r>
                </w:p>
              </w:tc>
              <w:tc>
                <w:tcPr>
                  <w:tcW w:w="935"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丙烷</w:t>
                  </w:r>
                </w:p>
              </w:tc>
              <w:tc>
                <w:tcPr>
                  <w:tcW w:w="895" w:type="pct"/>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30kg/瓶</w:t>
                  </w:r>
                </w:p>
              </w:tc>
              <w:tc>
                <w:tcPr>
                  <w:tcW w:w="668" w:type="pct"/>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0.15t</w:t>
                  </w:r>
                </w:p>
              </w:tc>
              <w:tc>
                <w:tcPr>
                  <w:tcW w:w="701" w:type="pct"/>
                  <w:vAlign w:val="center"/>
                </w:tcPr>
                <w:p>
                  <w:pPr>
                    <w:jc w:val="center"/>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0.15t</w:t>
                  </w:r>
                </w:p>
              </w:tc>
              <w:tc>
                <w:tcPr>
                  <w:tcW w:w="966" w:type="pct"/>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原料区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水帘水</w:t>
                  </w: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水帘水</w:t>
                  </w:r>
                </w:p>
              </w:tc>
              <w:tc>
                <w:tcPr>
                  <w:tcW w:w="895"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循环</w:t>
                  </w:r>
                  <w:r>
                    <w:rPr>
                      <w:rFonts w:hint="eastAsia" w:cs="Times New Roman"/>
                      <w:color w:val="auto"/>
                      <w:sz w:val="21"/>
                      <w:szCs w:val="21"/>
                      <w:highlight w:val="none"/>
                      <w:lang w:val="en-US" w:eastAsia="zh-CN" w:bidi="ar-SA"/>
                    </w:rPr>
                    <w:t>水池容</w:t>
                  </w:r>
                  <w:r>
                    <w:rPr>
                      <w:rFonts w:hint="eastAsia" w:ascii="Times New Roman" w:hAnsi="Times New Roman" w:eastAsia="宋体" w:cs="Times New Roman"/>
                      <w:color w:val="auto"/>
                      <w:sz w:val="21"/>
                      <w:szCs w:val="21"/>
                      <w:highlight w:val="none"/>
                      <w:lang w:val="en-US" w:eastAsia="zh-CN" w:bidi="ar-SA"/>
                    </w:rPr>
                    <w:t>量</w:t>
                  </w:r>
                  <w:r>
                    <w:rPr>
                      <w:rFonts w:hint="eastAsia" w:cs="Times New Roman"/>
                      <w:color w:val="auto"/>
                      <w:sz w:val="21"/>
                      <w:szCs w:val="21"/>
                      <w:highlight w:val="none"/>
                      <w:lang w:val="en-US" w:eastAsia="zh-CN" w:bidi="ar-SA"/>
                    </w:rPr>
                    <w:t>2</w:t>
                  </w:r>
                  <w:r>
                    <w:rPr>
                      <w:rFonts w:hint="eastAsia" w:ascii="Times New Roman" w:hAnsi="Times New Roman" w:eastAsia="宋体" w:cs="Times New Roman"/>
                      <w:color w:val="auto"/>
                      <w:sz w:val="21"/>
                      <w:szCs w:val="21"/>
                      <w:highlight w:val="none"/>
                      <w:lang w:val="en-US" w:eastAsia="zh-CN" w:bidi="ar-SA"/>
                    </w:rPr>
                    <w:t>t</w:t>
                  </w:r>
                </w:p>
              </w:tc>
              <w:tc>
                <w:tcPr>
                  <w:tcW w:w="668"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2t</w:t>
                  </w:r>
                </w:p>
              </w:tc>
              <w:tc>
                <w:tcPr>
                  <w:tcW w:w="701"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2t</w:t>
                  </w:r>
                </w:p>
              </w:tc>
              <w:tc>
                <w:tcPr>
                  <w:tcW w:w="966"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喷漆房水帘池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水帘废水</w:t>
                  </w:r>
                </w:p>
              </w:tc>
              <w:tc>
                <w:tcPr>
                  <w:tcW w:w="935" w:type="pct"/>
                  <w:vAlign w:val="center"/>
                </w:tcPr>
                <w:p>
                  <w:pPr>
                    <w:pStyle w:val="23"/>
                    <w:ind w:left="0" w:leftChars="0" w:firstLine="0" w:firstLineChars="0"/>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水帘废水</w:t>
                  </w:r>
                </w:p>
              </w:tc>
              <w:tc>
                <w:tcPr>
                  <w:tcW w:w="895"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200</w:t>
                  </w:r>
                  <w:r>
                    <w:rPr>
                      <w:rFonts w:hint="eastAsia" w:cs="Times New Roman"/>
                      <w:color w:val="auto"/>
                      <w:sz w:val="21"/>
                      <w:szCs w:val="21"/>
                      <w:highlight w:val="none"/>
                      <w:lang w:val="en-US" w:eastAsia="zh-CN" w:bidi="ar-SA"/>
                    </w:rPr>
                    <w:t>L</w:t>
                  </w:r>
                  <w:r>
                    <w:rPr>
                      <w:rFonts w:hint="eastAsia" w:ascii="Times New Roman" w:hAnsi="Times New Roman" w:eastAsia="宋体" w:cs="Times New Roman"/>
                      <w:color w:val="auto"/>
                      <w:sz w:val="21"/>
                      <w:szCs w:val="21"/>
                      <w:highlight w:val="none"/>
                      <w:lang w:val="en-US" w:eastAsia="zh-CN" w:bidi="ar-SA"/>
                    </w:rPr>
                    <w:t>/桶</w:t>
                  </w:r>
                </w:p>
              </w:tc>
              <w:tc>
                <w:tcPr>
                  <w:tcW w:w="668"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w:t>
                  </w:r>
                  <w:r>
                    <w:rPr>
                      <w:rFonts w:hint="eastAsia" w:cs="Times New Roman"/>
                      <w:color w:val="auto"/>
                      <w:sz w:val="21"/>
                      <w:szCs w:val="21"/>
                      <w:highlight w:val="none"/>
                      <w:lang w:val="en-US" w:eastAsia="zh-CN" w:bidi="ar-SA"/>
                    </w:rPr>
                    <w:t>t</w:t>
                  </w:r>
                </w:p>
              </w:tc>
              <w:tc>
                <w:tcPr>
                  <w:tcW w:w="701" w:type="pct"/>
                  <w:vAlign w:val="center"/>
                </w:tcPr>
                <w:p>
                  <w:pPr>
                    <w:pStyle w:val="23"/>
                    <w:ind w:left="0" w:leftChars="0"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w:t>
                  </w:r>
                  <w:r>
                    <w:rPr>
                      <w:rFonts w:hint="eastAsia" w:cs="Times New Roman"/>
                      <w:color w:val="auto"/>
                      <w:sz w:val="21"/>
                      <w:szCs w:val="21"/>
                      <w:highlight w:val="none"/>
                      <w:lang w:val="en-US" w:eastAsia="zh-CN" w:bidi="ar-SA"/>
                    </w:rPr>
                    <w:t>t</w:t>
                  </w:r>
                </w:p>
              </w:tc>
              <w:tc>
                <w:tcPr>
                  <w:tcW w:w="966" w:type="pct"/>
                  <w:vAlign w:val="center"/>
                </w:tcPr>
                <w:p>
                  <w:pPr>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危废暂存间</w:t>
                  </w:r>
                </w:p>
              </w:tc>
            </w:tr>
          </w:tbl>
          <w:p>
            <w:pPr>
              <w:spacing w:line="360" w:lineRule="auto"/>
              <w:ind w:firstLine="480" w:firstLineChars="200"/>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根据《建设项目环境风险评价技术导则》（HJ169-2018）中附录C的规定：计算项目所涉及的每种危险物质在厂界内的最大存在总量与其在附录B中对应临界量的比值Q。当只涉及一种危险物质时，计算该物质的总量与其临界量的比值，即为Q，全厂涉及的危险物质的贮存量和Q值总和见下表。</w:t>
            </w:r>
          </w:p>
          <w:p>
            <w:pPr>
              <w:autoSpaceDE w:val="0"/>
              <w:autoSpaceDN w:val="0"/>
              <w:jc w:val="center"/>
              <w:textAlignment w:val="bottom"/>
              <w:rPr>
                <w:rFonts w:hint="default" w:ascii="Times New Roman" w:hAnsi="Times New Roman" w:cs="Times New Roman"/>
                <w:b/>
                <w:color w:val="auto"/>
                <w:kern w:val="2"/>
                <w:sz w:val="21"/>
                <w:szCs w:val="21"/>
                <w:highlight w:val="none"/>
              </w:rPr>
            </w:pPr>
            <w:r>
              <w:rPr>
                <w:rFonts w:hint="default" w:ascii="Times New Roman" w:hAnsi="Times New Roman" w:cs="Times New Roman"/>
                <w:b/>
                <w:color w:val="auto"/>
                <w:kern w:val="2"/>
                <w:sz w:val="21"/>
                <w:szCs w:val="21"/>
                <w:highlight w:val="none"/>
              </w:rPr>
              <w:t>表4-3</w:t>
            </w:r>
            <w:r>
              <w:rPr>
                <w:rFonts w:hint="eastAsia" w:cs="Times New Roman"/>
                <w:b/>
                <w:color w:val="auto"/>
                <w:kern w:val="2"/>
                <w:sz w:val="21"/>
                <w:szCs w:val="21"/>
                <w:highlight w:val="none"/>
                <w:lang w:val="en-US" w:eastAsia="zh-CN"/>
              </w:rPr>
              <w:t>5</w:t>
            </w:r>
            <w:r>
              <w:rPr>
                <w:rFonts w:hint="default" w:ascii="Times New Roman" w:hAnsi="Times New Roman" w:cs="Times New Roman"/>
                <w:b/>
                <w:color w:val="auto"/>
                <w:kern w:val="2"/>
                <w:sz w:val="21"/>
                <w:szCs w:val="21"/>
                <w:highlight w:val="none"/>
              </w:rPr>
              <w:t xml:space="preserve"> Q值计算结果</w:t>
            </w:r>
          </w:p>
          <w:tbl>
            <w:tblPr>
              <w:tblStyle w:val="29"/>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34"/>
              <w:gridCol w:w="971"/>
              <w:gridCol w:w="1001"/>
              <w:gridCol w:w="1052"/>
              <w:gridCol w:w="1058"/>
              <w:gridCol w:w="1056"/>
              <w:gridCol w:w="1051"/>
              <w:gridCol w:w="1052"/>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404"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范围</w:t>
                  </w:r>
                </w:p>
              </w:tc>
              <w:tc>
                <w:tcPr>
                  <w:tcW w:w="534"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名称</w:t>
                  </w:r>
                </w:p>
              </w:tc>
              <w:tc>
                <w:tcPr>
                  <w:tcW w:w="551"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来源</w:t>
                  </w:r>
                </w:p>
              </w:tc>
              <w:tc>
                <w:tcPr>
                  <w:tcW w:w="579" w:type="pct"/>
                  <w:vAlign w:val="center"/>
                </w:tcPr>
                <w:p>
                  <w:pPr>
                    <w:snapToGrid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物料最大储存量（t）</w:t>
                  </w:r>
                </w:p>
              </w:tc>
              <w:tc>
                <w:tcPr>
                  <w:tcW w:w="582"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储存装置</w:t>
                  </w:r>
                </w:p>
              </w:tc>
              <w:tc>
                <w:tcPr>
                  <w:tcW w:w="581"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储存位置</w:t>
                  </w:r>
                </w:p>
              </w:tc>
              <w:tc>
                <w:tcPr>
                  <w:tcW w:w="578"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临界量</w:t>
                  </w:r>
                </w:p>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Q</w:t>
                  </w:r>
                  <w:r>
                    <w:rPr>
                      <w:rFonts w:hint="default" w:ascii="Times New Roman" w:hAnsi="Times New Roman" w:cs="Times New Roman"/>
                      <w:color w:val="auto"/>
                      <w:kern w:val="2"/>
                      <w:sz w:val="21"/>
                      <w:szCs w:val="21"/>
                      <w:highlight w:val="none"/>
                      <w:vertAlign w:val="subscript"/>
                    </w:rPr>
                    <w:t>n</w:t>
                  </w:r>
                  <w:r>
                    <w:rPr>
                      <w:rFonts w:hint="default" w:ascii="Times New Roman" w:hAnsi="Times New Roman" w:cs="Times New Roman"/>
                      <w:color w:val="auto"/>
                      <w:kern w:val="2"/>
                      <w:sz w:val="21"/>
                      <w:szCs w:val="21"/>
                      <w:highlight w:val="none"/>
                    </w:rPr>
                    <w:t>（t）</w:t>
                  </w:r>
                </w:p>
              </w:tc>
              <w:tc>
                <w:tcPr>
                  <w:tcW w:w="579"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Q值</w:t>
                  </w:r>
                </w:p>
              </w:tc>
              <w:tc>
                <w:tcPr>
                  <w:tcW w:w="606"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Q值总和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04" w:type="pct"/>
                  <w:vMerge w:val="restar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本项目</w:t>
                  </w:r>
                </w:p>
              </w:tc>
              <w:tc>
                <w:tcPr>
                  <w:tcW w:w="534"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油类物质</w:t>
                  </w:r>
                </w:p>
              </w:tc>
              <w:tc>
                <w:tcPr>
                  <w:tcW w:w="551" w:type="pct"/>
                  <w:vAlign w:val="center"/>
                </w:tcPr>
                <w:p>
                  <w:pPr>
                    <w:snapToGrid w:val="0"/>
                    <w:jc w:val="center"/>
                    <w:rPr>
                      <w:rFonts w:hint="default" w:ascii="Times New Roman" w:hAnsi="Times New Roman" w:cs="Times New Roman"/>
                      <w:color w:val="auto"/>
                      <w:kern w:val="2"/>
                      <w:sz w:val="21"/>
                      <w:szCs w:val="21"/>
                      <w:highlight w:val="none"/>
                    </w:rPr>
                  </w:pPr>
                  <w:r>
                    <w:rPr>
                      <w:rFonts w:hint="eastAsia" w:cs="Times New Roman"/>
                      <w:color w:val="auto"/>
                      <w:kern w:val="2"/>
                      <w:sz w:val="21"/>
                      <w:szCs w:val="21"/>
                      <w:highlight w:val="none"/>
                      <w:lang w:val="en-US" w:eastAsia="zh-CN"/>
                    </w:rPr>
                    <w:t>机</w:t>
                  </w:r>
                  <w:r>
                    <w:rPr>
                      <w:rFonts w:hint="default" w:ascii="Times New Roman" w:hAnsi="Times New Roman" w:cs="Times New Roman"/>
                      <w:color w:val="auto"/>
                      <w:kern w:val="2"/>
                      <w:sz w:val="21"/>
                      <w:szCs w:val="21"/>
                      <w:highlight w:val="none"/>
                    </w:rPr>
                    <w:t>油、废油</w:t>
                  </w:r>
                </w:p>
              </w:tc>
              <w:tc>
                <w:tcPr>
                  <w:tcW w:w="579" w:type="pct"/>
                  <w:vAlign w:val="center"/>
                </w:tcPr>
                <w:p>
                  <w:pPr>
                    <w:snapToGri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0</w:t>
                  </w:r>
                  <w:r>
                    <w:rPr>
                      <w:rFonts w:hint="eastAsia" w:cs="Times New Roman"/>
                      <w:color w:val="auto"/>
                      <w:kern w:val="2"/>
                      <w:sz w:val="21"/>
                      <w:szCs w:val="21"/>
                      <w:highlight w:val="none"/>
                      <w:lang w:val="en-US" w:eastAsia="zh-CN"/>
                    </w:rPr>
                    <w:t>.225</w:t>
                  </w:r>
                </w:p>
              </w:tc>
              <w:tc>
                <w:tcPr>
                  <w:tcW w:w="582"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金属桶</w:t>
                  </w:r>
                </w:p>
              </w:tc>
              <w:tc>
                <w:tcPr>
                  <w:tcW w:w="581"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原料</w:t>
                  </w:r>
                  <w:r>
                    <w:rPr>
                      <w:rFonts w:hint="eastAsia" w:cs="Times New Roman"/>
                      <w:color w:val="auto"/>
                      <w:kern w:val="2"/>
                      <w:sz w:val="21"/>
                      <w:szCs w:val="21"/>
                      <w:highlight w:val="none"/>
                      <w:lang w:val="en-US" w:eastAsia="zh-CN"/>
                    </w:rPr>
                    <w:t>区</w:t>
                  </w:r>
                  <w:r>
                    <w:rPr>
                      <w:rFonts w:hint="default" w:ascii="Times New Roman" w:hAnsi="Times New Roman" w:cs="Times New Roman"/>
                      <w:color w:val="auto"/>
                      <w:kern w:val="2"/>
                      <w:sz w:val="21"/>
                      <w:szCs w:val="21"/>
                      <w:highlight w:val="none"/>
                    </w:rPr>
                    <w:t>、危废间</w:t>
                  </w:r>
                </w:p>
              </w:tc>
              <w:tc>
                <w:tcPr>
                  <w:tcW w:w="578"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2500</w:t>
                  </w:r>
                </w:p>
              </w:tc>
              <w:tc>
                <w:tcPr>
                  <w:tcW w:w="579" w:type="pct"/>
                  <w:vAlign w:val="center"/>
                </w:tcPr>
                <w:p>
                  <w:pPr>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0.00009</w:t>
                  </w:r>
                </w:p>
              </w:tc>
              <w:tc>
                <w:tcPr>
                  <w:tcW w:w="606"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0.08949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1" w:hRule="atLeast"/>
                <w:jc w:val="center"/>
              </w:trPr>
              <w:tc>
                <w:tcPr>
                  <w:tcW w:w="404" w:type="pct"/>
                  <w:vMerge w:val="continue"/>
                  <w:vAlign w:val="center"/>
                </w:tcPr>
                <w:p>
                  <w:pPr>
                    <w:snapToGrid w:val="0"/>
                    <w:jc w:val="center"/>
                    <w:rPr>
                      <w:rFonts w:hint="default" w:ascii="Times New Roman" w:hAnsi="Times New Roman" w:cs="Times New Roman"/>
                      <w:color w:val="auto"/>
                      <w:kern w:val="2"/>
                      <w:sz w:val="21"/>
                      <w:szCs w:val="21"/>
                      <w:highlight w:val="none"/>
                    </w:rPr>
                  </w:pPr>
                </w:p>
              </w:tc>
              <w:tc>
                <w:tcPr>
                  <w:tcW w:w="534" w:type="pct"/>
                  <w:vAlign w:val="center"/>
                </w:tcPr>
                <w:p>
                  <w:pPr>
                    <w:pStyle w:val="82"/>
                    <w:spacing w:before="198" w:line="360" w:lineRule="auto"/>
                    <w:ind w:right="76"/>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二甲苯</w:t>
                  </w:r>
                </w:p>
              </w:tc>
              <w:tc>
                <w:tcPr>
                  <w:tcW w:w="551" w:type="pct"/>
                  <w:vMerge w:val="restar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环氧有机富锌底漆A组分、环氧有机富锌底漆B组分、环氧云母氧化铁漆（</w:t>
                  </w:r>
                  <w:r>
                    <w:rPr>
                      <w:rFonts w:hint="eastAsia" w:cs="Times New Roman"/>
                      <w:color w:val="auto"/>
                      <w:kern w:val="2"/>
                      <w:sz w:val="21"/>
                      <w:szCs w:val="21"/>
                      <w:highlight w:val="none"/>
                      <w:lang w:eastAsia="zh-CN"/>
                    </w:rPr>
                    <w:t>面漆</w:t>
                  </w:r>
                  <w:r>
                    <w:rPr>
                      <w:rFonts w:hint="default" w:ascii="Times New Roman" w:hAnsi="Times New Roman" w:cs="Times New Roman"/>
                      <w:color w:val="auto"/>
                      <w:kern w:val="2"/>
                      <w:sz w:val="21"/>
                      <w:szCs w:val="21"/>
                      <w:highlight w:val="none"/>
                    </w:rPr>
                    <w:t>）A组分、环氧云母氧化铁漆（</w:t>
                  </w:r>
                  <w:r>
                    <w:rPr>
                      <w:rFonts w:hint="eastAsia" w:cs="Times New Roman"/>
                      <w:color w:val="auto"/>
                      <w:kern w:val="2"/>
                      <w:sz w:val="21"/>
                      <w:szCs w:val="21"/>
                      <w:highlight w:val="none"/>
                      <w:lang w:eastAsia="zh-CN"/>
                    </w:rPr>
                    <w:t>面漆</w:t>
                  </w:r>
                  <w:r>
                    <w:rPr>
                      <w:rFonts w:hint="default" w:ascii="Times New Roman" w:hAnsi="Times New Roman" w:cs="Times New Roman"/>
                      <w:color w:val="auto"/>
                      <w:kern w:val="2"/>
                      <w:sz w:val="21"/>
                      <w:szCs w:val="21"/>
                      <w:highlight w:val="none"/>
                    </w:rPr>
                    <w:t>）B组分、稀释剂</w:t>
                  </w:r>
                </w:p>
              </w:tc>
              <w:tc>
                <w:tcPr>
                  <w:tcW w:w="579" w:type="pct"/>
                  <w:vAlign w:val="center"/>
                </w:tcPr>
                <w:p>
                  <w:pPr>
                    <w:snapToGrid w:val="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0.</w:t>
                  </w:r>
                  <w:r>
                    <w:rPr>
                      <w:rFonts w:hint="eastAsia" w:cs="Times New Roman"/>
                      <w:color w:val="auto"/>
                      <w:kern w:val="2"/>
                      <w:sz w:val="21"/>
                      <w:szCs w:val="21"/>
                      <w:highlight w:val="none"/>
                      <w:lang w:val="en-US" w:eastAsia="zh-CN"/>
                    </w:rPr>
                    <w:t>135</w:t>
                  </w:r>
                </w:p>
              </w:tc>
              <w:tc>
                <w:tcPr>
                  <w:tcW w:w="582"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金属桶</w:t>
                  </w:r>
                </w:p>
              </w:tc>
              <w:tc>
                <w:tcPr>
                  <w:tcW w:w="581"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漆料间</w:t>
                  </w:r>
                </w:p>
              </w:tc>
              <w:tc>
                <w:tcPr>
                  <w:tcW w:w="578" w:type="pct"/>
                  <w:vAlign w:val="center"/>
                </w:tcPr>
                <w:p>
                  <w:pPr>
                    <w:pStyle w:val="82"/>
                    <w:spacing w:before="198" w:line="360" w:lineRule="auto"/>
                    <w:ind w:right="76"/>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color w:val="auto"/>
                      <w:kern w:val="2"/>
                      <w:sz w:val="21"/>
                      <w:szCs w:val="21"/>
                      <w:highlight w:val="none"/>
                      <w:lang w:eastAsia="zh-CN"/>
                    </w:rPr>
                    <w:t>10</w:t>
                  </w:r>
                </w:p>
              </w:tc>
              <w:tc>
                <w:tcPr>
                  <w:tcW w:w="579" w:type="pct"/>
                  <w:vAlign w:val="center"/>
                </w:tcPr>
                <w:p>
                  <w:pPr>
                    <w:pStyle w:val="82"/>
                    <w:spacing w:before="198" w:line="360" w:lineRule="auto"/>
                    <w:ind w:right="76" w:rightChars="0"/>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0.0135</w:t>
                  </w:r>
                </w:p>
              </w:tc>
              <w:tc>
                <w:tcPr>
                  <w:tcW w:w="606" w:type="pct"/>
                  <w:vMerge w:val="continue"/>
                  <w:vAlign w:val="center"/>
                </w:tcPr>
                <w:p>
                  <w:pPr>
                    <w:pStyle w:val="82"/>
                    <w:spacing w:before="198" w:line="360" w:lineRule="auto"/>
                    <w:ind w:right="76" w:rightChars="0"/>
                    <w:rPr>
                      <w:rFonts w:hint="default" w:ascii="Times New Roman" w:hAnsi="Times New Roman" w:eastAsia="宋体" w:cs="Times New Roman"/>
                      <w:color w:val="auto"/>
                      <w:kern w:val="2"/>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404" w:type="pct"/>
                  <w:vMerge w:val="continue"/>
                  <w:vAlign w:val="center"/>
                </w:tcPr>
                <w:p>
                  <w:pPr>
                    <w:snapToGrid w:val="0"/>
                    <w:jc w:val="center"/>
                    <w:rPr>
                      <w:rFonts w:hint="default" w:ascii="Times New Roman" w:hAnsi="Times New Roman" w:cs="Times New Roman"/>
                      <w:color w:val="auto"/>
                      <w:kern w:val="2"/>
                      <w:sz w:val="21"/>
                      <w:szCs w:val="21"/>
                      <w:highlight w:val="none"/>
                    </w:rPr>
                  </w:pPr>
                </w:p>
              </w:tc>
              <w:tc>
                <w:tcPr>
                  <w:tcW w:w="534" w:type="pct"/>
                  <w:vAlign w:val="center"/>
                </w:tcPr>
                <w:p>
                  <w:pPr>
                    <w:pStyle w:val="82"/>
                    <w:spacing w:before="198" w:line="360" w:lineRule="auto"/>
                    <w:ind w:right="76"/>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乙苯</w:t>
                  </w:r>
                </w:p>
              </w:tc>
              <w:tc>
                <w:tcPr>
                  <w:tcW w:w="551" w:type="pct"/>
                  <w:vMerge w:val="continue"/>
                  <w:vAlign w:val="center"/>
                </w:tcPr>
                <w:p>
                  <w:pPr>
                    <w:snapToGrid w:val="0"/>
                    <w:jc w:val="center"/>
                    <w:rPr>
                      <w:rFonts w:hint="default" w:ascii="Times New Roman" w:hAnsi="Times New Roman" w:cs="Times New Roman"/>
                      <w:color w:val="auto"/>
                      <w:kern w:val="2"/>
                      <w:sz w:val="21"/>
                      <w:szCs w:val="21"/>
                      <w:highlight w:val="none"/>
                    </w:rPr>
                  </w:pPr>
                </w:p>
              </w:tc>
              <w:tc>
                <w:tcPr>
                  <w:tcW w:w="579" w:type="pct"/>
                  <w:vAlign w:val="center"/>
                </w:tcPr>
                <w:p>
                  <w:pPr>
                    <w:snapToGrid w:val="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0.027</w:t>
                  </w:r>
                </w:p>
              </w:tc>
              <w:tc>
                <w:tcPr>
                  <w:tcW w:w="582"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金属桶</w:t>
                  </w:r>
                </w:p>
              </w:tc>
              <w:tc>
                <w:tcPr>
                  <w:tcW w:w="581"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漆料间</w:t>
                  </w:r>
                </w:p>
              </w:tc>
              <w:tc>
                <w:tcPr>
                  <w:tcW w:w="578" w:type="pct"/>
                  <w:vAlign w:val="center"/>
                </w:tcPr>
                <w:p>
                  <w:pPr>
                    <w:pStyle w:val="82"/>
                    <w:spacing w:before="198" w:line="360" w:lineRule="auto"/>
                    <w:ind w:right="76" w:rightChars="0"/>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10</w:t>
                  </w:r>
                </w:p>
              </w:tc>
              <w:tc>
                <w:tcPr>
                  <w:tcW w:w="579" w:type="pct"/>
                  <w:vAlign w:val="center"/>
                </w:tcPr>
                <w:p>
                  <w:pPr>
                    <w:pStyle w:val="82"/>
                    <w:spacing w:before="198" w:line="360" w:lineRule="auto"/>
                    <w:ind w:right="76" w:rightChars="0"/>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eastAsia="zh-CN"/>
                    </w:rPr>
                    <w:t>0.0</w:t>
                  </w:r>
                  <w:r>
                    <w:rPr>
                      <w:rFonts w:hint="eastAsia" w:ascii="Times New Roman" w:hAnsi="Times New Roman" w:eastAsia="宋体" w:cs="Times New Roman"/>
                      <w:color w:val="auto"/>
                      <w:kern w:val="2"/>
                      <w:sz w:val="21"/>
                      <w:szCs w:val="21"/>
                      <w:highlight w:val="none"/>
                      <w:lang w:val="en-US" w:eastAsia="zh-CN"/>
                    </w:rPr>
                    <w:t>027</w:t>
                  </w:r>
                </w:p>
              </w:tc>
              <w:tc>
                <w:tcPr>
                  <w:tcW w:w="606" w:type="pct"/>
                  <w:vMerge w:val="continue"/>
                  <w:vAlign w:val="center"/>
                </w:tcPr>
                <w:p>
                  <w:pPr>
                    <w:pStyle w:val="82"/>
                    <w:spacing w:before="198" w:line="360" w:lineRule="auto"/>
                    <w:ind w:right="76" w:rightChars="0"/>
                    <w:rPr>
                      <w:rFonts w:hint="default" w:ascii="Times New Roman" w:hAnsi="Times New Roman" w:eastAsia="宋体" w:cs="Times New Roman"/>
                      <w:color w:val="auto"/>
                      <w:kern w:val="2"/>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9" w:hRule="atLeast"/>
                <w:jc w:val="center"/>
              </w:trPr>
              <w:tc>
                <w:tcPr>
                  <w:tcW w:w="404" w:type="pct"/>
                  <w:vMerge w:val="continue"/>
                  <w:vAlign w:val="center"/>
                </w:tcPr>
                <w:p>
                  <w:pPr>
                    <w:snapToGrid w:val="0"/>
                    <w:jc w:val="center"/>
                    <w:rPr>
                      <w:rFonts w:hint="default" w:ascii="Times New Roman" w:hAnsi="Times New Roman" w:cs="Times New Roman"/>
                      <w:color w:val="auto"/>
                      <w:kern w:val="2"/>
                      <w:sz w:val="21"/>
                      <w:szCs w:val="21"/>
                      <w:highlight w:val="none"/>
                    </w:rPr>
                  </w:pPr>
                </w:p>
              </w:tc>
              <w:tc>
                <w:tcPr>
                  <w:tcW w:w="534" w:type="pct"/>
                  <w:vMerge w:val="restart"/>
                  <w:vAlign w:val="center"/>
                </w:tcPr>
                <w:p>
                  <w:pPr>
                    <w:pStyle w:val="82"/>
                    <w:spacing w:before="198" w:line="360" w:lineRule="auto"/>
                    <w:ind w:right="76"/>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危害水环境物质</w:t>
                  </w:r>
                </w:p>
              </w:tc>
              <w:tc>
                <w:tcPr>
                  <w:tcW w:w="551" w:type="pct"/>
                  <w:vAlign w:val="center"/>
                </w:tcPr>
                <w:p>
                  <w:pPr>
                    <w:snapToGrid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水性漆、环氧有机富锌底漆A组分、环氧有机富锌底漆B组分、环氧云母氧化铁漆（</w:t>
                  </w:r>
                  <w:r>
                    <w:rPr>
                      <w:rFonts w:hint="eastAsia" w:cs="Times New Roman"/>
                      <w:color w:val="auto"/>
                      <w:kern w:val="2"/>
                      <w:sz w:val="21"/>
                      <w:szCs w:val="21"/>
                      <w:highlight w:val="none"/>
                      <w:lang w:eastAsia="zh-CN"/>
                    </w:rPr>
                    <w:t>面漆</w:t>
                  </w:r>
                  <w:r>
                    <w:rPr>
                      <w:rFonts w:hint="default" w:ascii="Times New Roman" w:hAnsi="Times New Roman" w:cs="Times New Roman"/>
                      <w:color w:val="auto"/>
                      <w:kern w:val="2"/>
                      <w:sz w:val="21"/>
                      <w:szCs w:val="21"/>
                      <w:highlight w:val="none"/>
                    </w:rPr>
                    <w:t>）A组分、环氧云母氧化铁漆（</w:t>
                  </w:r>
                  <w:r>
                    <w:rPr>
                      <w:rFonts w:hint="eastAsia" w:cs="Times New Roman"/>
                      <w:color w:val="auto"/>
                      <w:kern w:val="2"/>
                      <w:sz w:val="21"/>
                      <w:szCs w:val="21"/>
                      <w:highlight w:val="none"/>
                      <w:lang w:eastAsia="zh-CN"/>
                    </w:rPr>
                    <w:t>面漆</w:t>
                  </w:r>
                  <w:r>
                    <w:rPr>
                      <w:rFonts w:hint="default" w:ascii="Times New Roman" w:hAnsi="Times New Roman" w:cs="Times New Roman"/>
                      <w:color w:val="auto"/>
                      <w:kern w:val="2"/>
                      <w:sz w:val="21"/>
                      <w:szCs w:val="21"/>
                      <w:highlight w:val="none"/>
                    </w:rPr>
                    <w:t>）B组分、稀释剂</w:t>
                  </w:r>
                </w:p>
              </w:tc>
              <w:tc>
                <w:tcPr>
                  <w:tcW w:w="579" w:type="pct"/>
                  <w:vAlign w:val="center"/>
                </w:tcPr>
                <w:p>
                  <w:pPr>
                    <w:snapToGrid w:val="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w:t>
                  </w:r>
                </w:p>
              </w:tc>
              <w:tc>
                <w:tcPr>
                  <w:tcW w:w="582"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金属桶</w:t>
                  </w:r>
                </w:p>
              </w:tc>
              <w:tc>
                <w:tcPr>
                  <w:tcW w:w="581"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漆料间</w:t>
                  </w:r>
                </w:p>
              </w:tc>
              <w:tc>
                <w:tcPr>
                  <w:tcW w:w="578" w:type="pct"/>
                  <w:vMerge w:val="restart"/>
                  <w:vAlign w:val="center"/>
                </w:tcPr>
                <w:p>
                  <w:pPr>
                    <w:pStyle w:val="82"/>
                    <w:spacing w:before="198" w:line="360" w:lineRule="auto"/>
                    <w:ind w:right="76"/>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eastAsia="zh-CN"/>
                    </w:rPr>
                    <w:t>100</w:t>
                  </w:r>
                </w:p>
              </w:tc>
              <w:tc>
                <w:tcPr>
                  <w:tcW w:w="579" w:type="pct"/>
                  <w:vAlign w:val="center"/>
                </w:tcPr>
                <w:p>
                  <w:pPr>
                    <w:pStyle w:val="82"/>
                    <w:spacing w:before="198" w:line="360" w:lineRule="auto"/>
                    <w:ind w:right="76"/>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eastAsia="zh-CN"/>
                    </w:rPr>
                    <w:t>0.0</w:t>
                  </w:r>
                  <w:r>
                    <w:rPr>
                      <w:rFonts w:hint="eastAsia" w:ascii="Times New Roman" w:hAnsi="Times New Roman" w:cs="Times New Roman"/>
                      <w:color w:val="auto"/>
                      <w:kern w:val="2"/>
                      <w:sz w:val="21"/>
                      <w:szCs w:val="21"/>
                      <w:highlight w:val="none"/>
                      <w:lang w:val="en-US" w:eastAsia="zh-CN"/>
                    </w:rPr>
                    <w:t>1</w:t>
                  </w:r>
                </w:p>
              </w:tc>
              <w:tc>
                <w:tcPr>
                  <w:tcW w:w="606" w:type="pct"/>
                  <w:vMerge w:val="continue"/>
                  <w:vAlign w:val="center"/>
                </w:tcPr>
                <w:p>
                  <w:pPr>
                    <w:snapToGrid w:val="0"/>
                    <w:jc w:val="center"/>
                    <w:rPr>
                      <w:rFonts w:hint="default" w:ascii="Times New Roman" w:hAnsi="Times New Roman"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404" w:type="pct"/>
                  <w:vMerge w:val="continue"/>
                  <w:vAlign w:val="center"/>
                </w:tcPr>
                <w:p>
                  <w:pPr>
                    <w:snapToGrid w:val="0"/>
                    <w:jc w:val="center"/>
                    <w:rPr>
                      <w:rFonts w:hint="default" w:ascii="Times New Roman" w:hAnsi="Times New Roman" w:cs="Times New Roman"/>
                      <w:color w:val="auto"/>
                      <w:kern w:val="2"/>
                      <w:sz w:val="21"/>
                      <w:szCs w:val="21"/>
                      <w:highlight w:val="none"/>
                    </w:rPr>
                  </w:pPr>
                </w:p>
              </w:tc>
              <w:tc>
                <w:tcPr>
                  <w:tcW w:w="534" w:type="pct"/>
                  <w:vMerge w:val="continue"/>
                  <w:vAlign w:val="center"/>
                </w:tcPr>
                <w:p>
                  <w:pPr>
                    <w:pStyle w:val="82"/>
                    <w:spacing w:before="198" w:line="360" w:lineRule="auto"/>
                    <w:ind w:right="76"/>
                    <w:rPr>
                      <w:rFonts w:hint="default" w:ascii="Times New Roman" w:hAnsi="Times New Roman" w:cs="Times New Roman" w:eastAsiaTheme="minorEastAsia"/>
                      <w:color w:val="auto"/>
                      <w:sz w:val="21"/>
                      <w:szCs w:val="21"/>
                      <w:highlight w:val="none"/>
                      <w:lang w:eastAsia="zh-CN"/>
                    </w:rPr>
                  </w:pPr>
                </w:p>
              </w:tc>
              <w:tc>
                <w:tcPr>
                  <w:tcW w:w="551" w:type="pct"/>
                  <w:vAlign w:val="center"/>
                </w:tcPr>
                <w:p>
                  <w:pPr>
                    <w:snapToGrid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切削液</w:t>
                  </w:r>
                  <w:r>
                    <w:rPr>
                      <w:rFonts w:hint="eastAsia"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rPr>
                    <w:t>废切削液</w:t>
                  </w:r>
                </w:p>
              </w:tc>
              <w:tc>
                <w:tcPr>
                  <w:tcW w:w="579" w:type="pct"/>
                  <w:vAlign w:val="center"/>
                </w:tcPr>
                <w:p>
                  <w:pPr>
                    <w:snapToGrid w:val="0"/>
                    <w:jc w:val="center"/>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0.82</w:t>
                  </w:r>
                </w:p>
              </w:tc>
              <w:tc>
                <w:tcPr>
                  <w:tcW w:w="582"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金属桶</w:t>
                  </w:r>
                </w:p>
              </w:tc>
              <w:tc>
                <w:tcPr>
                  <w:tcW w:w="581" w:type="pct"/>
                  <w:vAlign w:val="center"/>
                </w:tcPr>
                <w:p>
                  <w:pPr>
                    <w:snapToGrid w:val="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原料区</w:t>
                  </w:r>
                </w:p>
              </w:tc>
              <w:tc>
                <w:tcPr>
                  <w:tcW w:w="578" w:type="pct"/>
                  <w:vMerge w:val="continue"/>
                  <w:vAlign w:val="center"/>
                </w:tcPr>
                <w:p>
                  <w:pPr>
                    <w:pStyle w:val="82"/>
                    <w:spacing w:before="198" w:line="360" w:lineRule="auto"/>
                    <w:ind w:right="76"/>
                    <w:rPr>
                      <w:rFonts w:hint="default" w:ascii="Times New Roman" w:hAnsi="Times New Roman" w:cs="Times New Roman"/>
                      <w:color w:val="auto"/>
                      <w:kern w:val="2"/>
                      <w:sz w:val="21"/>
                      <w:szCs w:val="21"/>
                      <w:highlight w:val="none"/>
                      <w:lang w:eastAsia="zh-CN"/>
                    </w:rPr>
                  </w:pPr>
                </w:p>
              </w:tc>
              <w:tc>
                <w:tcPr>
                  <w:tcW w:w="579" w:type="pct"/>
                  <w:vAlign w:val="center"/>
                </w:tcPr>
                <w:p>
                  <w:pPr>
                    <w:pStyle w:val="82"/>
                    <w:spacing w:before="198" w:line="360" w:lineRule="auto"/>
                    <w:ind w:right="76"/>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0.0082</w:t>
                  </w:r>
                </w:p>
              </w:tc>
              <w:tc>
                <w:tcPr>
                  <w:tcW w:w="606" w:type="pct"/>
                  <w:vMerge w:val="continue"/>
                  <w:vAlign w:val="center"/>
                </w:tcPr>
                <w:p>
                  <w:pPr>
                    <w:snapToGrid w:val="0"/>
                    <w:jc w:val="center"/>
                    <w:rPr>
                      <w:rFonts w:hint="default" w:ascii="Times New Roman" w:hAnsi="Times New Roman"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404" w:type="pct"/>
                  <w:vMerge w:val="continue"/>
                  <w:vAlign w:val="center"/>
                </w:tcPr>
                <w:p>
                  <w:pPr>
                    <w:snapToGrid w:val="0"/>
                    <w:jc w:val="center"/>
                    <w:rPr>
                      <w:rFonts w:hint="default" w:ascii="Times New Roman" w:hAnsi="Times New Roman" w:cs="Times New Roman"/>
                      <w:color w:val="auto"/>
                      <w:kern w:val="2"/>
                      <w:sz w:val="21"/>
                      <w:szCs w:val="21"/>
                      <w:highlight w:val="none"/>
                    </w:rPr>
                  </w:pPr>
                </w:p>
              </w:tc>
              <w:tc>
                <w:tcPr>
                  <w:tcW w:w="534" w:type="pct"/>
                  <w:vMerge w:val="continue"/>
                  <w:vAlign w:val="center"/>
                </w:tcPr>
                <w:p>
                  <w:pPr>
                    <w:pStyle w:val="82"/>
                    <w:spacing w:before="198" w:line="360" w:lineRule="auto"/>
                    <w:ind w:right="76"/>
                    <w:rPr>
                      <w:rFonts w:hint="default" w:ascii="Times New Roman" w:hAnsi="Times New Roman" w:cs="Times New Roman" w:eastAsiaTheme="minorEastAsia"/>
                      <w:color w:val="auto"/>
                      <w:sz w:val="21"/>
                      <w:szCs w:val="21"/>
                      <w:highlight w:val="none"/>
                      <w:lang w:eastAsia="zh-CN"/>
                    </w:rPr>
                  </w:pPr>
                </w:p>
              </w:tc>
              <w:tc>
                <w:tcPr>
                  <w:tcW w:w="551" w:type="pct"/>
                  <w:vAlign w:val="center"/>
                </w:tcPr>
                <w:p>
                  <w:pPr>
                    <w:snapToGrid w:val="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水帘水、水帘废水</w:t>
                  </w:r>
                </w:p>
              </w:tc>
              <w:tc>
                <w:tcPr>
                  <w:tcW w:w="579" w:type="pct"/>
                  <w:vAlign w:val="center"/>
                </w:tcPr>
                <w:p>
                  <w:pPr>
                    <w:snapToGrid w:val="0"/>
                    <w:jc w:val="center"/>
                    <w:rPr>
                      <w:rFonts w:hint="eastAsia" w:ascii="Times New Roman" w:hAnsi="Times New Roman" w:eastAsia="宋体" w:cs="Times New Roman"/>
                      <w:color w:val="auto"/>
                      <w:kern w:val="2"/>
                      <w:sz w:val="21"/>
                      <w:szCs w:val="21"/>
                      <w:highlight w:val="none"/>
                      <w:lang w:eastAsia="zh-CN"/>
                    </w:rPr>
                  </w:pPr>
                  <w:r>
                    <w:rPr>
                      <w:rFonts w:hint="eastAsia" w:cs="Times New Roman"/>
                      <w:color w:val="auto"/>
                      <w:kern w:val="2"/>
                      <w:sz w:val="21"/>
                      <w:szCs w:val="21"/>
                      <w:highlight w:val="none"/>
                      <w:lang w:val="en-US" w:eastAsia="zh-CN"/>
                    </w:rPr>
                    <w:t>4</w:t>
                  </w:r>
                </w:p>
              </w:tc>
              <w:tc>
                <w:tcPr>
                  <w:tcW w:w="582"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水帘柜、金属桶</w:t>
                  </w:r>
                </w:p>
              </w:tc>
              <w:tc>
                <w:tcPr>
                  <w:tcW w:w="581" w:type="pct"/>
                  <w:vAlign w:val="center"/>
                </w:tcPr>
                <w:p>
                  <w:pPr>
                    <w:snapToGrid w:val="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喷漆房水帘池、危废间</w:t>
                  </w:r>
                </w:p>
              </w:tc>
              <w:tc>
                <w:tcPr>
                  <w:tcW w:w="578" w:type="pct"/>
                  <w:vMerge w:val="continue"/>
                  <w:vAlign w:val="center"/>
                </w:tcPr>
                <w:p>
                  <w:pPr>
                    <w:pStyle w:val="82"/>
                    <w:spacing w:before="198" w:line="360" w:lineRule="auto"/>
                    <w:ind w:right="76"/>
                    <w:rPr>
                      <w:rFonts w:hint="default" w:ascii="Times New Roman" w:hAnsi="Times New Roman" w:cs="Times New Roman"/>
                      <w:color w:val="auto"/>
                      <w:kern w:val="2"/>
                      <w:sz w:val="21"/>
                      <w:szCs w:val="21"/>
                      <w:highlight w:val="none"/>
                      <w:lang w:eastAsia="zh-CN"/>
                    </w:rPr>
                  </w:pPr>
                </w:p>
              </w:tc>
              <w:tc>
                <w:tcPr>
                  <w:tcW w:w="579" w:type="pct"/>
                  <w:vAlign w:val="center"/>
                </w:tcPr>
                <w:p>
                  <w:pPr>
                    <w:pStyle w:val="82"/>
                    <w:spacing w:before="198" w:line="360" w:lineRule="auto"/>
                    <w:ind w:right="76"/>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0.04</w:t>
                  </w:r>
                </w:p>
              </w:tc>
              <w:tc>
                <w:tcPr>
                  <w:tcW w:w="606" w:type="pct"/>
                  <w:vMerge w:val="continue"/>
                  <w:vAlign w:val="center"/>
                </w:tcPr>
                <w:p>
                  <w:pPr>
                    <w:snapToGrid w:val="0"/>
                    <w:jc w:val="center"/>
                    <w:rPr>
                      <w:rFonts w:hint="default" w:ascii="Times New Roman" w:hAnsi="Times New Roman" w:cs="Times New Roman"/>
                      <w:color w:val="auto"/>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404" w:type="pct"/>
                  <w:vMerge w:val="continue"/>
                  <w:vAlign w:val="center"/>
                </w:tcPr>
                <w:p>
                  <w:pPr>
                    <w:snapToGrid w:val="0"/>
                    <w:jc w:val="center"/>
                    <w:rPr>
                      <w:rFonts w:hint="default" w:ascii="Times New Roman" w:hAnsi="Times New Roman" w:cs="Times New Roman"/>
                      <w:color w:val="auto"/>
                      <w:kern w:val="2"/>
                      <w:sz w:val="21"/>
                      <w:szCs w:val="21"/>
                      <w:highlight w:val="none"/>
                    </w:rPr>
                  </w:pPr>
                </w:p>
              </w:tc>
              <w:tc>
                <w:tcPr>
                  <w:tcW w:w="534" w:type="pct"/>
                  <w:vAlign w:val="center"/>
                </w:tcPr>
                <w:p>
                  <w:pPr>
                    <w:pStyle w:val="82"/>
                    <w:spacing w:before="198" w:line="360" w:lineRule="auto"/>
                    <w:ind w:right="76"/>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lang w:val="en-US" w:eastAsia="zh-CN"/>
                    </w:rPr>
                    <w:t>丙烷</w:t>
                  </w:r>
                </w:p>
              </w:tc>
              <w:tc>
                <w:tcPr>
                  <w:tcW w:w="551" w:type="pct"/>
                  <w:vAlign w:val="center"/>
                </w:tcPr>
                <w:p>
                  <w:pPr>
                    <w:snapToGrid w:val="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丙烷</w:t>
                  </w:r>
                </w:p>
              </w:tc>
              <w:tc>
                <w:tcPr>
                  <w:tcW w:w="579" w:type="pct"/>
                  <w:vAlign w:val="center"/>
                </w:tcPr>
                <w:p>
                  <w:pPr>
                    <w:snapToGrid w:val="0"/>
                    <w:jc w:val="center"/>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0.15</w:t>
                  </w:r>
                </w:p>
              </w:tc>
              <w:tc>
                <w:tcPr>
                  <w:tcW w:w="582" w:type="pct"/>
                  <w:vAlign w:val="center"/>
                </w:tcPr>
                <w:p>
                  <w:pPr>
                    <w:snapToGrid w:val="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气瓶</w:t>
                  </w:r>
                </w:p>
              </w:tc>
              <w:tc>
                <w:tcPr>
                  <w:tcW w:w="581" w:type="pct"/>
                  <w:vAlign w:val="center"/>
                </w:tcPr>
                <w:p>
                  <w:pPr>
                    <w:snapToGrid w:val="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原料区</w:t>
                  </w:r>
                </w:p>
              </w:tc>
              <w:tc>
                <w:tcPr>
                  <w:tcW w:w="578" w:type="pct"/>
                  <w:vAlign w:val="center"/>
                </w:tcPr>
                <w:p>
                  <w:pPr>
                    <w:pStyle w:val="82"/>
                    <w:spacing w:before="198" w:line="360" w:lineRule="auto"/>
                    <w:ind w:right="76"/>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10</w:t>
                  </w:r>
                </w:p>
              </w:tc>
              <w:tc>
                <w:tcPr>
                  <w:tcW w:w="579" w:type="pct"/>
                  <w:vAlign w:val="center"/>
                </w:tcPr>
                <w:p>
                  <w:pPr>
                    <w:pStyle w:val="82"/>
                    <w:spacing w:before="198" w:line="360" w:lineRule="auto"/>
                    <w:ind w:right="76"/>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0.015</w:t>
                  </w:r>
                </w:p>
              </w:tc>
              <w:tc>
                <w:tcPr>
                  <w:tcW w:w="606" w:type="pct"/>
                  <w:vMerge w:val="continue"/>
                  <w:vAlign w:val="center"/>
                </w:tcPr>
                <w:p>
                  <w:pPr>
                    <w:snapToGrid w:val="0"/>
                    <w:jc w:val="center"/>
                    <w:rPr>
                      <w:rFonts w:hint="default" w:ascii="Times New Roman" w:hAnsi="Times New Roman" w:cs="Times New Roman"/>
                      <w:color w:val="auto"/>
                      <w:kern w:val="2"/>
                      <w:sz w:val="21"/>
                      <w:szCs w:val="21"/>
                      <w:highlight w:val="none"/>
                    </w:rPr>
                  </w:pPr>
                </w:p>
              </w:tc>
            </w:tr>
          </w:tbl>
          <w:p>
            <w:pPr>
              <w:spacing w:line="360" w:lineRule="auto"/>
              <w:ind w:firstLine="480" w:firstLineChars="200"/>
              <w:jc w:val="left"/>
              <w:rPr>
                <w:rFonts w:hint="default" w:ascii="Times New Roman" w:hAnsi="Times New Roman" w:cs="Times New Roman"/>
                <w:b/>
                <w:color w:val="auto"/>
                <w:kern w:val="2"/>
                <w:szCs w:val="24"/>
                <w:highlight w:val="none"/>
              </w:rPr>
            </w:pPr>
            <w:r>
              <w:rPr>
                <w:rFonts w:hint="default" w:ascii="Times New Roman" w:hAnsi="Times New Roman" w:cs="Times New Roman"/>
                <w:color w:val="auto"/>
                <w:kern w:val="2"/>
                <w:highlight w:val="none"/>
              </w:rPr>
              <w:t>根据计算结果，全厂Q=0.0</w:t>
            </w:r>
            <w:r>
              <w:rPr>
                <w:rFonts w:hint="eastAsia" w:cs="Times New Roman"/>
                <w:color w:val="auto"/>
                <w:kern w:val="2"/>
                <w:highlight w:val="none"/>
                <w:lang w:val="en-US" w:eastAsia="zh-CN"/>
              </w:rPr>
              <w:t>8949</w:t>
            </w:r>
            <w:r>
              <w:rPr>
                <w:rFonts w:hint="default" w:ascii="Times New Roman" w:hAnsi="Times New Roman" w:cs="Times New Roman"/>
                <w:color w:val="auto"/>
                <w:kern w:val="2"/>
                <w:highlight w:val="none"/>
              </w:rPr>
              <w:t>＜1，因此，本项目有毒有害和易燃易爆危险物质存储量未超过《建设项目环境风险评价技术导则》（HJ 169-2018）附录B、附录C中临界量。本项目危险物质暂存量不超过临界量，不需要进行专题报告。</w:t>
            </w:r>
          </w:p>
          <w:p>
            <w:pPr>
              <w:spacing w:line="360" w:lineRule="auto"/>
              <w:ind w:firstLine="482" w:firstLineChars="200"/>
              <w:jc w:val="left"/>
              <w:rPr>
                <w:rFonts w:hint="default" w:ascii="Times New Roman" w:hAnsi="Times New Roman" w:cs="Times New Roman"/>
                <w:b/>
                <w:color w:val="auto"/>
                <w:kern w:val="24"/>
                <w:szCs w:val="24"/>
                <w:highlight w:val="none"/>
              </w:rPr>
            </w:pPr>
            <w:r>
              <w:rPr>
                <w:rFonts w:hint="default" w:ascii="Times New Roman" w:hAnsi="Times New Roman" w:cs="Times New Roman"/>
                <w:b/>
                <w:color w:val="auto"/>
                <w:kern w:val="2"/>
                <w:szCs w:val="24"/>
                <w:highlight w:val="none"/>
              </w:rPr>
              <w:t>2.</w:t>
            </w:r>
            <w:r>
              <w:rPr>
                <w:rFonts w:hint="default" w:ascii="Times New Roman" w:hAnsi="Times New Roman" w:cs="Times New Roman"/>
                <w:b/>
                <w:color w:val="auto"/>
                <w:kern w:val="24"/>
                <w:szCs w:val="24"/>
                <w:highlight w:val="none"/>
              </w:rPr>
              <w:t>危险物质向环境转移的途径识别</w:t>
            </w:r>
          </w:p>
          <w:p>
            <w:pPr>
              <w:adjustRightInd w:val="0"/>
              <w:spacing w:line="360" w:lineRule="auto"/>
              <w:ind w:firstLine="480" w:firstLineChars="200"/>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color w:val="auto"/>
                <w:szCs w:val="24"/>
                <w:highlight w:val="none"/>
              </w:rPr>
              <w:t>危险废物可能向环境转移的途径、可能影响的环境敏感目标情况见下表。</w:t>
            </w:r>
          </w:p>
          <w:p>
            <w:pPr>
              <w:adjustRightInd w:val="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表4-3</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rPr>
              <w:t xml:space="preserve"> 本项目危险废物向环境转移的途径识别一览表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884"/>
              <w:gridCol w:w="1624"/>
              <w:gridCol w:w="1308"/>
              <w:gridCol w:w="1231"/>
              <w:gridCol w:w="3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30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486"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危险单元</w:t>
                  </w:r>
                </w:p>
              </w:tc>
              <w:tc>
                <w:tcPr>
                  <w:tcW w:w="893"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风险源</w:t>
                  </w:r>
                </w:p>
              </w:tc>
              <w:tc>
                <w:tcPr>
                  <w:tcW w:w="719"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主要风险物质</w:t>
                  </w:r>
                </w:p>
              </w:tc>
              <w:tc>
                <w:tcPr>
                  <w:tcW w:w="67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环境风险类型</w:t>
                  </w:r>
                </w:p>
              </w:tc>
              <w:tc>
                <w:tcPr>
                  <w:tcW w:w="1915"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07" w:type="pct"/>
                  <w:vMerge w:val="restar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486" w:type="pct"/>
                  <w:vMerge w:val="restart"/>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储存单元</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生产单元</w:t>
                  </w:r>
                </w:p>
              </w:tc>
              <w:tc>
                <w:tcPr>
                  <w:tcW w:w="893" w:type="pct"/>
                  <w:vMerge w:val="restart"/>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环氧有机富锌底漆A组分、环氧有机富锌底漆B组分、环氧云母氧化铁漆（</w:t>
                  </w:r>
                  <w:r>
                    <w:rPr>
                      <w:rFonts w:hint="eastAsia" w:cs="Times New Roman"/>
                      <w:color w:val="auto"/>
                      <w:kern w:val="2"/>
                      <w:sz w:val="21"/>
                      <w:szCs w:val="21"/>
                      <w:highlight w:val="none"/>
                      <w:lang w:eastAsia="zh-CN"/>
                    </w:rPr>
                    <w:t>面漆</w:t>
                  </w:r>
                  <w:r>
                    <w:rPr>
                      <w:rFonts w:hint="default" w:ascii="Times New Roman" w:hAnsi="Times New Roman" w:cs="Times New Roman"/>
                      <w:color w:val="auto"/>
                      <w:kern w:val="2"/>
                      <w:sz w:val="21"/>
                      <w:szCs w:val="21"/>
                      <w:highlight w:val="none"/>
                    </w:rPr>
                    <w:t>）A组分、环氧云母氧化铁漆（</w:t>
                  </w:r>
                  <w:r>
                    <w:rPr>
                      <w:rFonts w:hint="eastAsia" w:cs="Times New Roman"/>
                      <w:color w:val="auto"/>
                      <w:kern w:val="2"/>
                      <w:sz w:val="21"/>
                      <w:szCs w:val="21"/>
                      <w:highlight w:val="none"/>
                      <w:lang w:eastAsia="zh-CN"/>
                    </w:rPr>
                    <w:t>面漆</w:t>
                  </w:r>
                  <w:r>
                    <w:rPr>
                      <w:rFonts w:hint="default" w:ascii="Times New Roman" w:hAnsi="Times New Roman" w:cs="Times New Roman"/>
                      <w:color w:val="auto"/>
                      <w:kern w:val="2"/>
                      <w:sz w:val="21"/>
                      <w:szCs w:val="21"/>
                      <w:highlight w:val="none"/>
                    </w:rPr>
                    <w:t>）B组分、稀释剂</w:t>
                  </w:r>
                </w:p>
              </w:tc>
              <w:tc>
                <w:tcPr>
                  <w:tcW w:w="719" w:type="pct"/>
                  <w:vMerge w:val="restar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 w:val="21"/>
                      <w:szCs w:val="21"/>
                      <w:highlight w:val="none"/>
                    </w:rPr>
                    <w:t>危害水环境物质</w:t>
                  </w:r>
                </w:p>
              </w:tc>
              <w:tc>
                <w:tcPr>
                  <w:tcW w:w="67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泄漏</w:t>
                  </w:r>
                </w:p>
              </w:tc>
              <w:tc>
                <w:tcPr>
                  <w:tcW w:w="1915" w:type="pct"/>
                  <w:vAlign w:val="center"/>
                </w:tcPr>
                <w:p>
                  <w:pPr>
                    <w:jc w:val="both"/>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①大气：泄漏物料中挥发性有机物挥发扩散进入大气。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307" w:type="pct"/>
                  <w:vMerge w:val="continue"/>
                  <w:vAlign w:val="center"/>
                </w:tcPr>
                <w:p>
                  <w:pPr>
                    <w:jc w:val="both"/>
                    <w:rPr>
                      <w:color w:val="auto"/>
                      <w:highlight w:val="none"/>
                    </w:rPr>
                  </w:pPr>
                </w:p>
              </w:tc>
              <w:tc>
                <w:tcPr>
                  <w:tcW w:w="486" w:type="pct"/>
                  <w:vMerge w:val="continue"/>
                  <w:vAlign w:val="center"/>
                </w:tcPr>
                <w:p>
                  <w:pPr>
                    <w:jc w:val="both"/>
                    <w:rPr>
                      <w:color w:val="auto"/>
                      <w:highlight w:val="none"/>
                    </w:rPr>
                  </w:pPr>
                </w:p>
              </w:tc>
              <w:tc>
                <w:tcPr>
                  <w:tcW w:w="893" w:type="pct"/>
                  <w:vMerge w:val="continue"/>
                  <w:vAlign w:val="center"/>
                </w:tcPr>
                <w:p>
                  <w:pPr>
                    <w:jc w:val="both"/>
                    <w:rPr>
                      <w:color w:val="auto"/>
                      <w:highlight w:val="none"/>
                    </w:rPr>
                  </w:pPr>
                </w:p>
              </w:tc>
              <w:tc>
                <w:tcPr>
                  <w:tcW w:w="719" w:type="pct"/>
                  <w:vMerge w:val="continue"/>
                  <w:vAlign w:val="center"/>
                </w:tcPr>
                <w:p>
                  <w:pPr>
                    <w:jc w:val="both"/>
                    <w:rPr>
                      <w:color w:val="auto"/>
                      <w:highlight w:val="none"/>
                    </w:rPr>
                  </w:pPr>
                </w:p>
              </w:tc>
              <w:tc>
                <w:tcPr>
                  <w:tcW w:w="677" w:type="pc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火灾</w:t>
                  </w:r>
                </w:p>
              </w:tc>
              <w:tc>
                <w:tcPr>
                  <w:tcW w:w="1915" w:type="pct"/>
                  <w:vAlign w:val="center"/>
                </w:tcPr>
                <w:p>
                  <w:pPr>
                    <w:jc w:val="both"/>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①大气：</w:t>
                  </w:r>
                  <w:r>
                    <w:rPr>
                      <w:rFonts w:hint="default" w:ascii="Times New Roman" w:hAnsi="Times New Roman" w:eastAsia="宋体" w:cs="Times New Roman"/>
                      <w:color w:val="auto"/>
                      <w:sz w:val="21"/>
                      <w:szCs w:val="21"/>
                      <w:highlight w:val="none"/>
                    </w:rPr>
                    <w:t>泄漏物料不慎引发火灾，火灾时燃烧烟气扩散至周边大气</w:t>
                  </w:r>
                  <w:r>
                    <w:rPr>
                      <w:rFonts w:hint="eastAsia" w:ascii="Times New Roman" w:hAnsi="Times New Roman" w:eastAsia="宋体" w:cs="Times New Roman"/>
                      <w:color w:val="auto"/>
                      <w:sz w:val="21"/>
                      <w:szCs w:val="21"/>
                      <w:highlight w:val="none"/>
                      <w:lang w:eastAsia="zh-CN"/>
                    </w:rPr>
                    <w:t>。</w:t>
                  </w:r>
                </w:p>
                <w:p>
                  <w:pPr>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②地表水：消防废水经雨水总排口</w:t>
                  </w:r>
                  <w:r>
                    <w:rPr>
                      <w:rFonts w:hint="eastAsia" w:cs="Times New Roman"/>
                      <w:bCs/>
                      <w:color w:val="auto"/>
                      <w:sz w:val="21"/>
                      <w:szCs w:val="21"/>
                      <w:highlight w:val="none"/>
                      <w:lang w:val="en-US" w:eastAsia="zh-CN"/>
                    </w:rPr>
                    <w:t>进入地表水</w:t>
                  </w: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07" w:type="pct"/>
                  <w:vMerge w:val="continue"/>
                  <w:vAlign w:val="center"/>
                </w:tcPr>
                <w:p>
                  <w:pPr>
                    <w:jc w:val="center"/>
                    <w:rPr>
                      <w:rFonts w:hint="default" w:ascii="Times New Roman" w:hAnsi="Times New Roman" w:cs="Times New Roman"/>
                      <w:color w:val="auto"/>
                      <w:sz w:val="21"/>
                      <w:szCs w:val="21"/>
                      <w:highlight w:val="none"/>
                    </w:rPr>
                  </w:pPr>
                </w:p>
              </w:tc>
              <w:tc>
                <w:tcPr>
                  <w:tcW w:w="486" w:type="pct"/>
                  <w:vMerge w:val="continue"/>
                  <w:vAlign w:val="center"/>
                </w:tcPr>
                <w:p>
                  <w:pPr>
                    <w:jc w:val="center"/>
                    <w:rPr>
                      <w:rFonts w:hint="default" w:ascii="Times New Roman" w:hAnsi="Times New Roman" w:cs="Times New Roman"/>
                      <w:color w:val="auto"/>
                      <w:sz w:val="21"/>
                      <w:szCs w:val="21"/>
                      <w:highlight w:val="none"/>
                    </w:rPr>
                  </w:pPr>
                </w:p>
              </w:tc>
              <w:tc>
                <w:tcPr>
                  <w:tcW w:w="893" w:type="pct"/>
                  <w:vMerge w:val="restar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环氧有机富锌底漆A组分、环氧有机富锌底漆B组分、环氧云母氧化铁漆（</w:t>
                  </w:r>
                  <w:r>
                    <w:rPr>
                      <w:rFonts w:hint="eastAsia" w:cs="Times New Roman"/>
                      <w:color w:val="auto"/>
                      <w:kern w:val="2"/>
                      <w:sz w:val="21"/>
                      <w:szCs w:val="21"/>
                      <w:highlight w:val="none"/>
                      <w:lang w:eastAsia="zh-CN"/>
                    </w:rPr>
                    <w:t>面漆</w:t>
                  </w:r>
                  <w:r>
                    <w:rPr>
                      <w:rFonts w:hint="default" w:ascii="Times New Roman" w:hAnsi="Times New Roman" w:cs="Times New Roman"/>
                      <w:color w:val="auto"/>
                      <w:kern w:val="2"/>
                      <w:sz w:val="21"/>
                      <w:szCs w:val="21"/>
                      <w:highlight w:val="none"/>
                    </w:rPr>
                    <w:t>）A组分、环氧云母氧化铁漆（</w:t>
                  </w:r>
                  <w:r>
                    <w:rPr>
                      <w:rFonts w:hint="eastAsia" w:cs="Times New Roman"/>
                      <w:color w:val="auto"/>
                      <w:kern w:val="2"/>
                      <w:sz w:val="21"/>
                      <w:szCs w:val="21"/>
                      <w:highlight w:val="none"/>
                      <w:lang w:eastAsia="zh-CN"/>
                    </w:rPr>
                    <w:t>面漆</w:t>
                  </w:r>
                  <w:r>
                    <w:rPr>
                      <w:rFonts w:hint="default" w:ascii="Times New Roman" w:hAnsi="Times New Roman" w:cs="Times New Roman"/>
                      <w:color w:val="auto"/>
                      <w:kern w:val="2"/>
                      <w:sz w:val="21"/>
                      <w:szCs w:val="21"/>
                      <w:highlight w:val="none"/>
                    </w:rPr>
                    <w:t>）B组分、稀释剂</w:t>
                  </w:r>
                </w:p>
              </w:tc>
              <w:tc>
                <w:tcPr>
                  <w:tcW w:w="719" w:type="pct"/>
                  <w:vMerge w:val="restart"/>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二甲苯</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乙苯</w:t>
                  </w:r>
                </w:p>
              </w:tc>
              <w:tc>
                <w:tcPr>
                  <w:tcW w:w="67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泄漏</w:t>
                  </w:r>
                </w:p>
              </w:tc>
              <w:tc>
                <w:tcPr>
                  <w:tcW w:w="1915" w:type="pct"/>
                  <w:vAlign w:val="center"/>
                </w:tcPr>
                <w:p>
                  <w:pPr>
                    <w:jc w:val="both"/>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①大气：泄漏物料中挥发性有机物挥发扩散进入大气。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307" w:type="pct"/>
                  <w:vMerge w:val="continue"/>
                  <w:vAlign w:val="center"/>
                </w:tcPr>
                <w:p>
                  <w:pPr>
                    <w:jc w:val="center"/>
                    <w:rPr>
                      <w:rFonts w:hint="default" w:ascii="Times New Roman" w:hAnsi="Times New Roman" w:cs="Times New Roman"/>
                      <w:color w:val="auto"/>
                      <w:sz w:val="21"/>
                      <w:szCs w:val="21"/>
                      <w:highlight w:val="none"/>
                    </w:rPr>
                  </w:pPr>
                </w:p>
              </w:tc>
              <w:tc>
                <w:tcPr>
                  <w:tcW w:w="486" w:type="pct"/>
                  <w:vMerge w:val="continue"/>
                  <w:vAlign w:val="center"/>
                </w:tcPr>
                <w:p>
                  <w:pPr>
                    <w:jc w:val="center"/>
                    <w:rPr>
                      <w:rFonts w:hint="default" w:ascii="Times New Roman" w:hAnsi="Times New Roman" w:cs="Times New Roman"/>
                      <w:color w:val="auto"/>
                      <w:sz w:val="21"/>
                      <w:szCs w:val="21"/>
                      <w:highlight w:val="none"/>
                    </w:rPr>
                  </w:pPr>
                </w:p>
              </w:tc>
              <w:tc>
                <w:tcPr>
                  <w:tcW w:w="893" w:type="pct"/>
                  <w:vMerge w:val="continue"/>
                  <w:vAlign w:val="center"/>
                </w:tcPr>
                <w:p>
                  <w:pPr>
                    <w:jc w:val="center"/>
                    <w:rPr>
                      <w:rFonts w:hint="default" w:ascii="Times New Roman" w:hAnsi="Times New Roman" w:cs="Times New Roman"/>
                      <w:color w:val="auto"/>
                      <w:sz w:val="21"/>
                      <w:szCs w:val="21"/>
                      <w:highlight w:val="none"/>
                    </w:rPr>
                  </w:pPr>
                </w:p>
              </w:tc>
              <w:tc>
                <w:tcPr>
                  <w:tcW w:w="719" w:type="pct"/>
                  <w:vMerge w:val="continue"/>
                  <w:vAlign w:val="center"/>
                </w:tcPr>
                <w:p>
                  <w:pPr>
                    <w:jc w:val="center"/>
                    <w:rPr>
                      <w:rFonts w:hint="default" w:ascii="Times New Roman" w:hAnsi="Times New Roman" w:cs="Times New Roman"/>
                      <w:bCs/>
                      <w:color w:val="auto"/>
                      <w:sz w:val="21"/>
                      <w:szCs w:val="21"/>
                      <w:highlight w:val="none"/>
                    </w:rPr>
                  </w:pPr>
                </w:p>
              </w:tc>
              <w:tc>
                <w:tcPr>
                  <w:tcW w:w="677" w:type="pct"/>
                  <w:vAlign w:val="center"/>
                </w:tcPr>
                <w:p>
                  <w:pPr>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火灾</w:t>
                  </w:r>
                </w:p>
              </w:tc>
              <w:tc>
                <w:tcPr>
                  <w:tcW w:w="1915" w:type="pct"/>
                  <w:vAlign w:val="center"/>
                </w:tcPr>
                <w:p>
                  <w:pPr>
                    <w:jc w:val="both"/>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①大气：</w:t>
                  </w:r>
                  <w:r>
                    <w:rPr>
                      <w:rFonts w:hint="default" w:ascii="Times New Roman" w:hAnsi="Times New Roman" w:eastAsia="宋体" w:cs="Times New Roman"/>
                      <w:color w:val="auto"/>
                      <w:sz w:val="21"/>
                      <w:szCs w:val="21"/>
                      <w:highlight w:val="none"/>
                    </w:rPr>
                    <w:t>泄漏物料不慎引发火灾，火灾时燃烧烟气扩散至周边大气</w:t>
                  </w:r>
                  <w:r>
                    <w:rPr>
                      <w:rFonts w:hint="eastAsia" w:ascii="Times New Roman" w:hAnsi="Times New Roman" w:eastAsia="宋体" w:cs="Times New Roman"/>
                      <w:color w:val="auto"/>
                      <w:sz w:val="21"/>
                      <w:szCs w:val="21"/>
                      <w:highlight w:val="none"/>
                      <w:lang w:eastAsia="zh-CN"/>
                    </w:rPr>
                    <w:t>。</w:t>
                  </w:r>
                </w:p>
                <w:p>
                  <w:pPr>
                    <w:jc w:val="both"/>
                    <w:rPr>
                      <w:rFonts w:hint="eastAsia" w:cs="Times New Roman"/>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②地表水：消防废水经雨水总排口</w:t>
                  </w:r>
                  <w:r>
                    <w:rPr>
                      <w:rFonts w:hint="eastAsia" w:cs="Times New Roman"/>
                      <w:bCs/>
                      <w:color w:val="auto"/>
                      <w:sz w:val="21"/>
                      <w:szCs w:val="21"/>
                      <w:highlight w:val="none"/>
                      <w:lang w:val="en-US" w:eastAsia="zh-CN"/>
                    </w:rPr>
                    <w:t>进入地表水</w:t>
                  </w: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07" w:type="pct"/>
                  <w:vMerge w:val="continue"/>
                  <w:vAlign w:val="center"/>
                </w:tcPr>
                <w:p>
                  <w:pPr>
                    <w:jc w:val="center"/>
                    <w:rPr>
                      <w:color w:val="auto"/>
                      <w:highlight w:val="none"/>
                    </w:rPr>
                  </w:pPr>
                </w:p>
              </w:tc>
              <w:tc>
                <w:tcPr>
                  <w:tcW w:w="486" w:type="pct"/>
                  <w:vMerge w:val="continue"/>
                  <w:vAlign w:val="center"/>
                </w:tcPr>
                <w:p>
                  <w:pPr>
                    <w:jc w:val="center"/>
                    <w:rPr>
                      <w:color w:val="auto"/>
                      <w:highlight w:val="none"/>
                    </w:rPr>
                  </w:pPr>
                </w:p>
              </w:tc>
              <w:tc>
                <w:tcPr>
                  <w:tcW w:w="893" w:type="pct"/>
                  <w:vAlign w:val="center"/>
                </w:tcPr>
                <w:p>
                  <w:pPr>
                    <w:jc w:val="center"/>
                    <w:rPr>
                      <w:rFonts w:hint="default" w:eastAsia="宋体"/>
                      <w:color w:val="auto"/>
                      <w:highlight w:val="none"/>
                      <w:lang w:val="en-US" w:eastAsia="zh-CN"/>
                    </w:rPr>
                  </w:pPr>
                  <w:r>
                    <w:rPr>
                      <w:rFonts w:hint="eastAsia" w:cs="Times New Roman"/>
                      <w:color w:val="auto"/>
                      <w:sz w:val="21"/>
                      <w:szCs w:val="21"/>
                      <w:highlight w:val="none"/>
                      <w:lang w:val="en-US" w:eastAsia="zh-CN"/>
                    </w:rPr>
                    <w:t>机</w:t>
                  </w:r>
                  <w:r>
                    <w:rPr>
                      <w:rFonts w:hint="default" w:ascii="Times New Roman" w:hAnsi="Times New Roman" w:cs="Times New Roman"/>
                      <w:color w:val="auto"/>
                      <w:sz w:val="21"/>
                      <w:szCs w:val="21"/>
                      <w:highlight w:val="none"/>
                    </w:rPr>
                    <w:t>油、废油</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丙烷</w:t>
                  </w:r>
                </w:p>
              </w:tc>
              <w:tc>
                <w:tcPr>
                  <w:tcW w:w="719" w:type="pct"/>
                  <w:vAlign w:val="center"/>
                </w:tcPr>
                <w:p>
                  <w:pPr>
                    <w:jc w:val="center"/>
                    <w:rPr>
                      <w:rFonts w:hint="default" w:eastAsia="宋体"/>
                      <w:color w:val="auto"/>
                      <w:highlight w:val="none"/>
                      <w:lang w:val="en-US" w:eastAsia="zh-CN"/>
                    </w:rPr>
                  </w:pPr>
                  <w:r>
                    <w:rPr>
                      <w:rFonts w:hint="default" w:ascii="Times New Roman" w:hAnsi="Times New Roman" w:cs="Times New Roman"/>
                      <w:bCs/>
                      <w:color w:val="auto"/>
                      <w:sz w:val="21"/>
                      <w:szCs w:val="21"/>
                      <w:highlight w:val="none"/>
                    </w:rPr>
                    <w:t>油类物质</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丙烷</w:t>
                  </w:r>
                </w:p>
              </w:tc>
              <w:tc>
                <w:tcPr>
                  <w:tcW w:w="677" w:type="pct"/>
                  <w:vAlign w:val="center"/>
                </w:tcPr>
                <w:p>
                  <w:pPr>
                    <w:jc w:val="center"/>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火灾</w:t>
                  </w:r>
                </w:p>
              </w:tc>
              <w:tc>
                <w:tcPr>
                  <w:tcW w:w="1915" w:type="pct"/>
                  <w:vAlign w:val="center"/>
                </w:tcPr>
                <w:p>
                  <w:pPr>
                    <w:jc w:val="both"/>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①大气：</w:t>
                  </w:r>
                  <w:r>
                    <w:rPr>
                      <w:rFonts w:hint="default" w:ascii="Times New Roman" w:hAnsi="Times New Roman" w:eastAsia="宋体" w:cs="Times New Roman"/>
                      <w:color w:val="auto"/>
                      <w:sz w:val="21"/>
                      <w:szCs w:val="21"/>
                      <w:highlight w:val="none"/>
                    </w:rPr>
                    <w:t>泄漏物料不慎引发火灾，火灾时燃烧烟气扩散至周边大气</w:t>
                  </w:r>
                  <w:r>
                    <w:rPr>
                      <w:rFonts w:hint="eastAsia" w:ascii="Times New Roman" w:hAnsi="Times New Roman" w:eastAsia="宋体" w:cs="Times New Roman"/>
                      <w:color w:val="auto"/>
                      <w:sz w:val="21"/>
                      <w:szCs w:val="21"/>
                      <w:highlight w:val="none"/>
                      <w:lang w:eastAsia="zh-CN"/>
                    </w:rPr>
                    <w:t>。</w:t>
                  </w:r>
                </w:p>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②地表水：消防废水经雨水总排口</w:t>
                  </w:r>
                </w:p>
                <w:p>
                  <w:pPr>
                    <w:jc w:val="both"/>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进入地表水</w:t>
                  </w:r>
                  <w:r>
                    <w:rPr>
                      <w:rFonts w:hint="eastAsia"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307" w:type="pct"/>
                  <w:vMerge w:val="restart"/>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486" w:type="pct"/>
                  <w:vMerge w:val="restar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转运单元</w:t>
                  </w:r>
                </w:p>
              </w:tc>
              <w:tc>
                <w:tcPr>
                  <w:tcW w:w="893" w:type="pct"/>
                  <w:vAlign w:val="center"/>
                </w:tcPr>
                <w:p>
                  <w:pPr>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kern w:val="2"/>
                      <w:sz w:val="21"/>
                      <w:szCs w:val="21"/>
                      <w:highlight w:val="none"/>
                    </w:rPr>
                    <w:t>环氧有机富锌底漆A组分、环氧有机富锌底漆B组分、环氧云母氧化铁漆（</w:t>
                  </w:r>
                  <w:r>
                    <w:rPr>
                      <w:rFonts w:hint="eastAsia" w:cs="Times New Roman"/>
                      <w:color w:val="auto"/>
                      <w:kern w:val="2"/>
                      <w:sz w:val="21"/>
                      <w:szCs w:val="21"/>
                      <w:highlight w:val="none"/>
                      <w:lang w:eastAsia="zh-CN"/>
                    </w:rPr>
                    <w:t>面漆</w:t>
                  </w:r>
                  <w:r>
                    <w:rPr>
                      <w:rFonts w:hint="default" w:ascii="Times New Roman" w:hAnsi="Times New Roman" w:cs="Times New Roman"/>
                      <w:color w:val="auto"/>
                      <w:kern w:val="2"/>
                      <w:sz w:val="21"/>
                      <w:szCs w:val="21"/>
                      <w:highlight w:val="none"/>
                    </w:rPr>
                    <w:t>）A组分、环氧云母氧化铁漆（</w:t>
                  </w:r>
                  <w:r>
                    <w:rPr>
                      <w:rFonts w:hint="eastAsia" w:cs="Times New Roman"/>
                      <w:color w:val="auto"/>
                      <w:kern w:val="2"/>
                      <w:sz w:val="21"/>
                      <w:szCs w:val="21"/>
                      <w:highlight w:val="none"/>
                      <w:lang w:eastAsia="zh-CN"/>
                    </w:rPr>
                    <w:t>面漆</w:t>
                  </w:r>
                  <w:r>
                    <w:rPr>
                      <w:rFonts w:hint="default" w:ascii="Times New Roman" w:hAnsi="Times New Roman" w:cs="Times New Roman"/>
                      <w:color w:val="auto"/>
                      <w:kern w:val="2"/>
                      <w:sz w:val="21"/>
                      <w:szCs w:val="21"/>
                      <w:highlight w:val="none"/>
                    </w:rPr>
                    <w:t>）B组分、稀释剂</w:t>
                  </w:r>
                </w:p>
              </w:tc>
              <w:tc>
                <w:tcPr>
                  <w:tcW w:w="719" w:type="pct"/>
                  <w:vAlign w:val="center"/>
                </w:tcPr>
                <w:p>
                  <w:pPr>
                    <w:jc w:val="center"/>
                    <w:rPr>
                      <w:rFonts w:hint="default" w:ascii="Times New Roman" w:hAnsi="Times New Roman" w:cs="Times New Roman"/>
                      <w:bCs/>
                      <w:color w:val="auto"/>
                      <w:sz w:val="21"/>
                      <w:szCs w:val="21"/>
                      <w:highlight w:val="none"/>
                    </w:rPr>
                  </w:pPr>
                </w:p>
                <w:p>
                  <w:pPr>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sz w:val="21"/>
                      <w:szCs w:val="21"/>
                      <w:highlight w:val="none"/>
                    </w:rPr>
                    <w:t>危害水环境物质、二甲苯</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乙苯</w:t>
                  </w:r>
                </w:p>
              </w:tc>
              <w:tc>
                <w:tcPr>
                  <w:tcW w:w="67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泄漏</w:t>
                  </w:r>
                </w:p>
              </w:tc>
              <w:tc>
                <w:tcPr>
                  <w:tcW w:w="1915" w:type="pct"/>
                  <w:vAlign w:val="center"/>
                </w:tcPr>
                <w:p>
                  <w:pP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①大气：泄漏物料中挥发性有机物挥发扩散进入大气。</w:t>
                  </w:r>
                </w:p>
                <w:p>
                  <w:pPr>
                    <w:rPr>
                      <w:rFonts w:hint="default" w:ascii="Times New Roman" w:hAnsi="Times New Roman" w:cs="Times New Roman"/>
                      <w:color w:val="auto"/>
                      <w:sz w:val="21"/>
                      <w:szCs w:val="21"/>
                      <w:highlight w:val="none"/>
                    </w:rPr>
                  </w:pPr>
                  <w:r>
                    <w:rPr>
                      <w:rFonts w:hint="eastAsia" w:cs="Times New Roman"/>
                      <w:bCs/>
                      <w:color w:val="auto"/>
                      <w:sz w:val="21"/>
                      <w:szCs w:val="21"/>
                      <w:highlight w:val="none"/>
                      <w:lang w:val="en-US" w:eastAsia="zh-CN"/>
                    </w:rPr>
                    <w:t>②地表水：</w:t>
                  </w:r>
                  <w:r>
                    <w:rPr>
                      <w:rFonts w:hint="default" w:ascii="Times New Roman" w:hAnsi="Times New Roman" w:cs="Times New Roman"/>
                      <w:bCs/>
                      <w:color w:val="auto"/>
                      <w:sz w:val="21"/>
                      <w:szCs w:val="21"/>
                      <w:highlight w:val="none"/>
                    </w:rPr>
                    <w:t>泄漏物料流入雨水管网，经雨水总排口</w:t>
                  </w:r>
                  <w:r>
                    <w:rPr>
                      <w:rFonts w:hint="eastAsia" w:cs="Times New Roman"/>
                      <w:bCs/>
                      <w:color w:val="auto"/>
                      <w:sz w:val="21"/>
                      <w:szCs w:val="21"/>
                      <w:highlight w:val="none"/>
                      <w:lang w:val="en-US" w:eastAsia="zh-CN"/>
                    </w:rPr>
                    <w:t>进入地表水</w:t>
                  </w:r>
                  <w:r>
                    <w:rPr>
                      <w:rFonts w:hint="default" w:ascii="Times New Roman" w:hAnsi="Times New Roman" w:cs="Times New Roman"/>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307" w:type="pct"/>
                  <w:vMerge w:val="continue"/>
                  <w:vAlign w:val="center"/>
                </w:tcPr>
                <w:p>
                  <w:pPr>
                    <w:jc w:val="center"/>
                    <w:rPr>
                      <w:rFonts w:hint="eastAsia" w:cs="Times New Roman"/>
                      <w:color w:val="auto"/>
                      <w:sz w:val="21"/>
                      <w:szCs w:val="21"/>
                      <w:highlight w:val="none"/>
                      <w:lang w:val="en-US" w:eastAsia="zh-CN"/>
                    </w:rPr>
                  </w:pPr>
                  <w:bookmarkStart w:id="4" w:name="_Toc41377234"/>
                </w:p>
              </w:tc>
              <w:tc>
                <w:tcPr>
                  <w:tcW w:w="486" w:type="pct"/>
                  <w:vMerge w:val="continue"/>
                  <w:vAlign w:val="center"/>
                </w:tcPr>
                <w:p>
                  <w:pPr>
                    <w:jc w:val="center"/>
                    <w:rPr>
                      <w:rFonts w:hint="default" w:ascii="Times New Roman" w:hAnsi="Times New Roman" w:cs="Times New Roman"/>
                      <w:color w:val="auto"/>
                      <w:sz w:val="21"/>
                      <w:szCs w:val="21"/>
                      <w:highlight w:val="none"/>
                    </w:rPr>
                  </w:pPr>
                </w:p>
              </w:tc>
              <w:tc>
                <w:tcPr>
                  <w:tcW w:w="893"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切削液</w:t>
                  </w:r>
                  <w:r>
                    <w:rPr>
                      <w:rFonts w:hint="eastAsia"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rPr>
                    <w:t>废切削液</w:t>
                  </w:r>
                  <w:r>
                    <w:rPr>
                      <w:rFonts w:hint="eastAsia" w:ascii="Times New Roman" w:hAnsi="Times New Roman" w:cs="Times New Roman"/>
                      <w:color w:val="auto"/>
                      <w:kern w:val="2"/>
                      <w:sz w:val="21"/>
                      <w:szCs w:val="21"/>
                      <w:highlight w:val="none"/>
                      <w:lang w:eastAsia="zh-CN"/>
                    </w:rPr>
                    <w:t>、</w:t>
                  </w:r>
                  <w:r>
                    <w:rPr>
                      <w:rFonts w:hint="default" w:ascii="Times New Roman" w:hAnsi="Times New Roman" w:cs="Times New Roman"/>
                      <w:color w:val="auto"/>
                      <w:sz w:val="21"/>
                      <w:szCs w:val="21"/>
                      <w:highlight w:val="none"/>
                    </w:rPr>
                    <w:t>水帘水、水帘废水、</w:t>
                  </w:r>
                  <w:r>
                    <w:rPr>
                      <w:rFonts w:hint="eastAsia" w:cs="Times New Roman"/>
                      <w:color w:val="auto"/>
                      <w:sz w:val="21"/>
                      <w:szCs w:val="21"/>
                      <w:highlight w:val="none"/>
                      <w:lang w:val="en-US" w:eastAsia="zh-CN"/>
                    </w:rPr>
                    <w:t>机</w:t>
                  </w:r>
                  <w:r>
                    <w:rPr>
                      <w:rFonts w:hint="default" w:ascii="Times New Roman" w:hAnsi="Times New Roman" w:cs="Times New Roman"/>
                      <w:color w:val="auto"/>
                      <w:sz w:val="21"/>
                      <w:szCs w:val="21"/>
                      <w:highlight w:val="none"/>
                    </w:rPr>
                    <w:t>油、废油</w:t>
                  </w:r>
                </w:p>
              </w:tc>
              <w:tc>
                <w:tcPr>
                  <w:tcW w:w="719" w:type="pct"/>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危害水环境物质、油类物质</w:t>
                  </w:r>
                </w:p>
              </w:tc>
              <w:tc>
                <w:tcPr>
                  <w:tcW w:w="677" w:type="pc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泄漏</w:t>
                  </w:r>
                </w:p>
              </w:tc>
              <w:tc>
                <w:tcPr>
                  <w:tcW w:w="1915" w:type="pct"/>
                  <w:vAlign w:val="center"/>
                </w:tcPr>
                <w:p>
                  <w:pPr>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①地表水：</w:t>
                  </w:r>
                  <w:r>
                    <w:rPr>
                      <w:rFonts w:hint="default" w:ascii="Times New Roman" w:hAnsi="Times New Roman" w:cs="Times New Roman"/>
                      <w:bCs/>
                      <w:color w:val="auto"/>
                      <w:sz w:val="21"/>
                      <w:szCs w:val="21"/>
                      <w:highlight w:val="none"/>
                    </w:rPr>
                    <w:t>泄漏物料流入雨水管网，经雨水总排口</w:t>
                  </w:r>
                  <w:r>
                    <w:rPr>
                      <w:rFonts w:hint="eastAsia" w:cs="Times New Roman"/>
                      <w:bCs/>
                      <w:color w:val="auto"/>
                      <w:sz w:val="21"/>
                      <w:szCs w:val="21"/>
                      <w:highlight w:val="none"/>
                      <w:lang w:val="en-US" w:eastAsia="zh-CN"/>
                    </w:rPr>
                    <w:t>进入地表水</w:t>
                  </w:r>
                  <w:r>
                    <w:rPr>
                      <w:rFonts w:hint="default" w:ascii="Times New Roman" w:hAnsi="Times New Roman" w:cs="Times New Roman"/>
                      <w:bCs/>
                      <w:color w:val="auto"/>
                      <w:sz w:val="21"/>
                      <w:szCs w:val="21"/>
                      <w:highlight w:val="none"/>
                    </w:rPr>
                    <w:t>。</w:t>
                  </w:r>
                </w:p>
              </w:tc>
            </w:tr>
          </w:tbl>
          <w:p>
            <w:pPr>
              <w:numPr>
                <w:ilvl w:val="0"/>
                <w:numId w:val="9"/>
              </w:numPr>
              <w:spacing w:line="360" w:lineRule="auto"/>
              <w:ind w:firstLine="480" w:firstLineChars="200"/>
              <w:rPr>
                <w:rFonts w:hint="default"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lang w:val="en-US" w:eastAsia="zh-CN"/>
              </w:rPr>
              <w:t>危险</w:t>
            </w:r>
            <w:r>
              <w:rPr>
                <w:rFonts w:hint="default" w:ascii="Times New Roman" w:hAnsi="Times New Roman" w:cs="Times New Roman"/>
                <w:color w:val="auto"/>
                <w:sz w:val="24"/>
                <w:szCs w:val="24"/>
                <w:highlight w:val="none"/>
              </w:rPr>
              <w:t>物质泄漏：</w:t>
            </w:r>
          </w:p>
          <w:p>
            <w:pPr>
              <w:pStyle w:val="1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本项目危险物质分别在原料</w:t>
            </w:r>
            <w:r>
              <w:rPr>
                <w:rFonts w:hint="eastAsia" w:cs="Times New Roman"/>
                <w:color w:val="auto"/>
                <w:highlight w:val="none"/>
                <w:lang w:val="en-US" w:eastAsia="zh-CN"/>
              </w:rPr>
              <w:t>区</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漆料间、水帘池</w:t>
            </w:r>
            <w:r>
              <w:rPr>
                <w:rFonts w:hint="default" w:ascii="Times New Roman" w:hAnsi="Times New Roman" w:cs="Times New Roman"/>
                <w:color w:val="auto"/>
                <w:highlight w:val="none"/>
              </w:rPr>
              <w:t>和危险废物暂存间内储存时</w:t>
            </w:r>
            <w:r>
              <w:rPr>
                <w:rFonts w:hint="eastAsia" w:cs="Times New Roman"/>
                <w:color w:val="auto"/>
                <w:highlight w:val="none"/>
                <w:lang w:val="en-US" w:eastAsia="zh-CN"/>
              </w:rPr>
              <w:t>以及在生产单元内存在时</w:t>
            </w:r>
            <w:r>
              <w:rPr>
                <w:rFonts w:hint="default" w:ascii="Times New Roman" w:hAnsi="Times New Roman" w:cs="Times New Roman"/>
                <w:color w:val="auto"/>
                <w:highlight w:val="none"/>
              </w:rPr>
              <w:t>，若包装容器破损、倾覆</w:t>
            </w:r>
            <w:r>
              <w:rPr>
                <w:rFonts w:hint="eastAsia" w:cs="Times New Roman"/>
                <w:color w:val="auto"/>
                <w:highlight w:val="none"/>
                <w:lang w:val="en-US" w:eastAsia="zh-CN"/>
              </w:rPr>
              <w:t>等</w:t>
            </w:r>
            <w:r>
              <w:rPr>
                <w:rFonts w:hint="default" w:ascii="Times New Roman" w:hAnsi="Times New Roman" w:cs="Times New Roman"/>
                <w:color w:val="auto"/>
                <w:highlight w:val="none"/>
              </w:rPr>
              <w:t>造成泄漏，</w:t>
            </w:r>
            <w:r>
              <w:rPr>
                <w:rFonts w:hint="eastAsia" w:ascii="Times New Roman" w:hAnsi="Times New Roman" w:cs="Times New Roman"/>
                <w:color w:val="auto"/>
                <w:highlight w:val="none"/>
                <w:lang w:eastAsia="zh-CN"/>
              </w:rPr>
              <w:t>原料</w:t>
            </w:r>
            <w:r>
              <w:rPr>
                <w:rFonts w:hint="eastAsia" w:cs="Times New Roman"/>
                <w:color w:val="auto"/>
                <w:highlight w:val="none"/>
                <w:lang w:val="en-US" w:eastAsia="zh-CN"/>
              </w:rPr>
              <w:t>区</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漆料间、水帘池</w:t>
            </w:r>
            <w:r>
              <w:rPr>
                <w:rFonts w:hint="eastAsia" w:cs="Times New Roman"/>
                <w:color w:val="auto"/>
                <w:highlight w:val="none"/>
                <w:lang w:eastAsia="zh-CN"/>
              </w:rPr>
              <w:t>、</w:t>
            </w:r>
            <w:r>
              <w:rPr>
                <w:rFonts w:hint="default" w:ascii="Times New Roman" w:hAnsi="Times New Roman" w:cs="Times New Roman"/>
                <w:color w:val="auto"/>
                <w:highlight w:val="none"/>
              </w:rPr>
              <w:t>危险废物暂存间</w:t>
            </w:r>
            <w:r>
              <w:rPr>
                <w:rFonts w:hint="eastAsia" w:cs="Times New Roman"/>
                <w:color w:val="auto"/>
                <w:highlight w:val="none"/>
                <w:lang w:eastAsia="zh-CN"/>
              </w:rPr>
              <w:t>、</w:t>
            </w:r>
            <w:r>
              <w:rPr>
                <w:rFonts w:hint="eastAsia" w:cs="Times New Roman"/>
                <w:color w:val="auto"/>
                <w:highlight w:val="none"/>
                <w:lang w:val="en-US" w:eastAsia="zh-CN"/>
              </w:rPr>
              <w:t>车间均</w:t>
            </w:r>
            <w:r>
              <w:rPr>
                <w:rFonts w:hint="default" w:ascii="Times New Roman" w:hAnsi="Times New Roman" w:cs="Times New Roman"/>
                <w:color w:val="auto"/>
                <w:highlight w:val="none"/>
              </w:rPr>
              <w:t>有可靠防流散措施和防渗措施</w:t>
            </w:r>
            <w:r>
              <w:rPr>
                <w:rFonts w:hint="eastAsia" w:cs="Times New Roman"/>
                <w:color w:val="auto"/>
                <w:highlight w:val="none"/>
                <w:lang w:eastAsia="zh-CN"/>
              </w:rPr>
              <w:t>，</w:t>
            </w:r>
            <w:r>
              <w:rPr>
                <w:rFonts w:hint="eastAsia" w:cs="Times New Roman"/>
                <w:color w:val="auto"/>
                <w:highlight w:val="none"/>
                <w:lang w:val="en-US" w:eastAsia="zh-CN"/>
              </w:rPr>
              <w:t>如设置慢坡和地面防渗等</w:t>
            </w:r>
            <w:r>
              <w:rPr>
                <w:rFonts w:hint="default" w:ascii="Times New Roman" w:hAnsi="Times New Roman" w:cs="Times New Roman"/>
                <w:color w:val="auto"/>
                <w:highlight w:val="none"/>
              </w:rPr>
              <w:t>，泄漏后不会下渗或流出室外，故不会有地表水及地下水危害后果；危险物质泄漏量不大，</w:t>
            </w:r>
            <w:r>
              <w:rPr>
                <w:rFonts w:hint="eastAsia" w:cs="Times New Roman"/>
                <w:color w:val="auto"/>
                <w:highlight w:val="none"/>
                <w:lang w:val="en-US" w:eastAsia="zh-CN"/>
              </w:rPr>
              <w:t>挥发性</w:t>
            </w:r>
            <w:r>
              <w:rPr>
                <w:rFonts w:hint="default" w:ascii="Times New Roman" w:hAnsi="Times New Roman" w:cs="Times New Roman"/>
                <w:color w:val="auto"/>
                <w:highlight w:val="none"/>
              </w:rPr>
              <w:t>有机物挥发会引起局部轻微空气污染，但不会造成厂外人群明显的吸入危害。</w:t>
            </w:r>
          </w:p>
          <w:p>
            <w:pPr>
              <w:pStyle w:val="1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如在露天进行上述危险物质的搬运、装卸作业时发生泄漏，处置不及时，泄漏物可能会进入雨水收集井，经雨水排放口、市政雨水管网排入下游雨水受纳地表水体，但由于上述危险物质均为小包装，最大单包装泄漏量均较小，故最不利情形也是造成地表水局部的轻微污染，且短时间可恢复。同样，露天厂区泄漏，由于危险物质泄漏量不大，有机物挥发会引起局部轻微空气污染，不会造成厂外人群明显的吸入危害。</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（2）火灾引发的伴生/次生污染物排放</w:t>
            </w:r>
          </w:p>
          <w:p>
            <w:pPr>
              <w:pStyle w:val="1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w:t>
            </w:r>
            <w:r>
              <w:rPr>
                <w:rFonts w:hint="eastAsia" w:ascii="Times New Roman" w:hAnsi="Times New Roman" w:cs="Times New Roman"/>
                <w:color w:val="auto"/>
                <w:highlight w:val="none"/>
                <w:lang w:eastAsia="zh-CN"/>
              </w:rPr>
              <w:t>原料库</w:t>
            </w:r>
            <w:r>
              <w:rPr>
                <w:rFonts w:hint="eastAsia" w:cs="Times New Roman"/>
                <w:color w:val="auto"/>
                <w:highlight w:val="none"/>
                <w:lang w:val="en-US" w:eastAsia="zh-CN"/>
              </w:rPr>
              <w:t>区</w:t>
            </w:r>
            <w:r>
              <w:rPr>
                <w:rFonts w:hint="eastAsia" w:ascii="Times New Roman" w:hAnsi="Times New Roman" w:cs="Times New Roman"/>
                <w:color w:val="auto"/>
                <w:highlight w:val="none"/>
                <w:lang w:val="en-US" w:eastAsia="zh-CN"/>
              </w:rPr>
              <w:t>的润滑油、</w:t>
            </w:r>
            <w:r>
              <w:rPr>
                <w:rFonts w:hint="eastAsia" w:cs="Times New Roman"/>
                <w:color w:val="auto"/>
                <w:highlight w:val="none"/>
                <w:lang w:val="en-US" w:eastAsia="zh-CN"/>
              </w:rPr>
              <w:t>丙烷、</w:t>
            </w:r>
            <w:r>
              <w:rPr>
                <w:rFonts w:hint="eastAsia" w:ascii="Times New Roman" w:hAnsi="Times New Roman" w:cs="Times New Roman"/>
                <w:color w:val="auto"/>
                <w:highlight w:val="none"/>
                <w:lang w:val="en-US" w:eastAsia="zh-CN"/>
              </w:rPr>
              <w:t>漆料间内的漆料以</w:t>
            </w:r>
            <w:r>
              <w:rPr>
                <w:rFonts w:hint="default" w:ascii="Times New Roman" w:hAnsi="Times New Roman" w:cs="Times New Roman"/>
                <w:color w:val="auto"/>
                <w:highlight w:val="none"/>
              </w:rPr>
              <w:t>及危险废物暂存间内废油在贮存过程中受热或遇明火引发自燃，火灾事故引发次生及伴生影响主要体现在火灾过程中产生的燃烧废气。发生火灾事故时，油类物质不完全燃烧产生NOx、CO等物质，</w:t>
            </w:r>
            <w:r>
              <w:rPr>
                <w:rFonts w:hint="eastAsia" w:ascii="Times New Roman" w:hAnsi="Times New Roman" w:cs="Times New Roman"/>
                <w:color w:val="auto"/>
                <w:highlight w:val="none"/>
                <w:lang w:val="en-US" w:eastAsia="zh-CN"/>
              </w:rPr>
              <w:t>漆料</w:t>
            </w:r>
            <w:r>
              <w:rPr>
                <w:rFonts w:hint="default" w:ascii="Times New Roman" w:hAnsi="Times New Roman" w:cs="Times New Roman"/>
                <w:color w:val="auto"/>
                <w:highlight w:val="none"/>
              </w:rPr>
              <w:t>等不完全燃烧产生非甲烷总烃、CO</w:t>
            </w:r>
            <w:r>
              <w:rPr>
                <w:rFonts w:hint="eastAsia" w:cs="Times New Roman"/>
                <w:color w:val="auto"/>
                <w:highlight w:val="none"/>
                <w:lang w:eastAsia="zh-CN"/>
              </w:rPr>
              <w:t>、</w:t>
            </w:r>
            <w:r>
              <w:rPr>
                <w:rFonts w:hint="eastAsia" w:cs="Times New Roman"/>
                <w:color w:val="auto"/>
                <w:highlight w:val="none"/>
                <w:lang w:val="en-US" w:eastAsia="zh-CN"/>
              </w:rPr>
              <w:t>二甲苯、乙苯</w:t>
            </w:r>
            <w:r>
              <w:rPr>
                <w:rFonts w:hint="default" w:ascii="Times New Roman" w:hAnsi="Times New Roman" w:cs="Times New Roman"/>
                <w:color w:val="auto"/>
                <w:highlight w:val="none"/>
              </w:rPr>
              <w:t>等物质，并伴有烟雾产生。</w:t>
            </w:r>
          </w:p>
          <w:p>
            <w:pPr>
              <w:pStyle w:val="11"/>
              <w:ind w:firstLine="480"/>
              <w:rPr>
                <w:rFonts w:hint="eastAsia" w:eastAsia="宋体"/>
                <w:color w:val="auto"/>
                <w:highlight w:val="none"/>
                <w:lang w:val="en-US" w:eastAsia="zh-CN"/>
              </w:rPr>
            </w:pPr>
            <w:r>
              <w:rPr>
                <w:rFonts w:hint="default" w:ascii="Times New Roman" w:hAnsi="Times New Roman" w:cs="Times New Roman"/>
                <w:color w:val="auto"/>
                <w:highlight w:val="none"/>
              </w:rPr>
              <w:t>本项目危险物质分区存放，存储量较小，项目场地设有多</w:t>
            </w:r>
            <w:r>
              <w:rPr>
                <w:rFonts w:hint="eastAsia" w:cs="Times New Roman"/>
                <w:color w:val="auto"/>
                <w:highlight w:val="none"/>
                <w:lang w:eastAsia="zh-CN"/>
              </w:rPr>
              <w:t>个</w:t>
            </w:r>
            <w:r>
              <w:rPr>
                <w:rFonts w:hint="default" w:ascii="Times New Roman" w:hAnsi="Times New Roman" w:cs="Times New Roman"/>
                <w:color w:val="auto"/>
                <w:highlight w:val="none"/>
              </w:rPr>
              <w:t>灭火器，发生火灾事故时，立即取下灭火器对着火点进行灭火，同时根据火势采用干沙土进行吸附、围堵或导流，防止泄漏物四处流散。考虑到火灾产生的次生灾害是短暂的，随着火灾事故的结束，火灾对大气环境的影响也随之结束，不会对大气环境产生明显不利影响。室内贮存场所如火势较大可能产生一定的消防废水，消防废水中可能混入风险物质，如控制不力或消防救灾需要必须外排时，消防废水经雨水排放口、市政雨水管网排入地区雨水受纳的地表水体，但由于水环境风险物质厂内存量不大，故最不利情形也是造成地表水局部的有机物和油类轻微污染，且短时间可恢复，不会造成明显的水生生态危害。</w:t>
            </w:r>
          </w:p>
          <w:p>
            <w:pPr>
              <w:spacing w:line="360" w:lineRule="auto"/>
              <w:ind w:firstLine="482" w:firstLineChars="200"/>
              <w:jc w:val="left"/>
              <w:rPr>
                <w:rFonts w:hint="default" w:ascii="Times New Roman" w:hAnsi="Times New Roman" w:cs="Times New Roman"/>
                <w:color w:val="auto"/>
                <w:kern w:val="2"/>
                <w:szCs w:val="24"/>
                <w:highlight w:val="none"/>
              </w:rPr>
            </w:pPr>
            <w:r>
              <w:rPr>
                <w:rFonts w:hint="default" w:ascii="Times New Roman" w:hAnsi="Times New Roman" w:cs="Times New Roman"/>
                <w:b/>
                <w:color w:val="auto"/>
                <w:kern w:val="2"/>
                <w:highlight w:val="none"/>
              </w:rPr>
              <w:t>3.环境风险防范和应急措施</w:t>
            </w:r>
            <w:bookmarkEnd w:id="4"/>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（1）风险防范措施</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①室内泄漏</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风险物质可能发生室内泄漏的环节主要包括储存环节和生产环节。储存环节方面，厂内需设专人负责各类化学品物料的安全贮存、厂区内输运以及使用，按照其物化性质、危险特性等特征采取相应的安全贮存方式；操作人员必须经过专门 培训，严格遵守操作规程；风险物质物料存储暂存区域必须远离火种、热源， 严禁作业场所吸烟。制定严格的操作规程，涉及风险物质的操作人员进行必要的安全培训后方可进行生产。</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本项目需按照设计防渗要求，在漆料间、喷漆房内做好基础防渗，并加铺防渗层，防渗层材料的渗透系数小于1.0×10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cm/s，并在原料桶底部放置不锈钢托盘，确保泄漏物料可全部收集于漆料间、喷漆房。</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②室外运输和装卸发生泄漏</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项目建成后，风险物质需划定特定转移路线，且该路线需远离雨水收集口，雨水收集口位于院区门口，并在转移路线上固定地点放置消防沙、空桶等应急物资。</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③火灾</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项目建成后，企业需在雨水总排口设置</w:t>
            </w:r>
            <w:r>
              <w:rPr>
                <w:rFonts w:hint="eastAsia" w:cs="Times New Roman"/>
                <w:color w:val="auto"/>
                <w:highlight w:val="none"/>
                <w:lang w:eastAsia="zh-CN"/>
              </w:rPr>
              <w:t>沙袋</w:t>
            </w:r>
            <w:r>
              <w:rPr>
                <w:rFonts w:hint="default" w:ascii="Times New Roman" w:hAnsi="Times New Roman" w:cs="Times New Roman"/>
                <w:color w:val="auto"/>
                <w:highlight w:val="none"/>
              </w:rPr>
              <w:t>，在火灾发生时，对雨水总排口进行封堵，防止受污染的消防废水流出厂外。受污染的消防废水在厂区雨水管网内暂存，待事故处理结束后，进行取样检验，若符合污水处理厂纳管要求，则泵入污水管网排入</w:t>
            </w:r>
            <w:r>
              <w:rPr>
                <w:rFonts w:hint="eastAsia" w:cs="Times New Roman"/>
                <w:color w:val="auto"/>
                <w:highlight w:val="none"/>
                <w:lang w:eastAsia="zh-CN"/>
              </w:rPr>
              <w:t>大港石化产业园区污水处理厂</w:t>
            </w:r>
            <w:r>
              <w:rPr>
                <w:rFonts w:hint="default" w:ascii="Times New Roman" w:hAnsi="Times New Roman" w:cs="Times New Roman"/>
                <w:color w:val="auto"/>
                <w:highlight w:val="none"/>
              </w:rPr>
              <w:t xml:space="preserve">处理。若不符合要求，作为危废处置。 </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④环保设施故障</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加强管理工作，设专人每日2次检查环保设施运行情况，如发现环保设施故障，对应工序需立即停产。需加强设备维保，尽量减少环保设施故障的频率。</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⑤其他</w:t>
            </w:r>
          </w:p>
          <w:p>
            <w:pPr>
              <w:spacing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危废暂存间内地面硬化并铺设防渗层，危险废物底部放置防渗托盘，确保泄漏物料可全部收纳于危废暂存间内；定期检查各物料包装桶等容器的密封性能及强度，及时淘汰存在安全 隐患、超期服务的容器；</w:t>
            </w:r>
            <w:r>
              <w:rPr>
                <w:rFonts w:hint="eastAsia" w:cs="Times New Roman"/>
                <w:color w:val="auto"/>
                <w:highlight w:val="none"/>
                <w:lang w:eastAsia="zh-CN"/>
              </w:rPr>
              <w:t>原料库</w:t>
            </w:r>
            <w:r>
              <w:rPr>
                <w:rFonts w:hint="default" w:ascii="Times New Roman" w:hAnsi="Times New Roman" w:cs="Times New Roman"/>
                <w:color w:val="auto"/>
                <w:highlight w:val="none"/>
              </w:rPr>
              <w:t>和危废暂存间内暂存一定数量的消防</w:t>
            </w:r>
            <w:r>
              <w:rPr>
                <w:rFonts w:hint="eastAsia" w:cs="Times New Roman"/>
                <w:color w:val="auto"/>
                <w:highlight w:val="none"/>
                <w:lang w:eastAsia="zh-CN"/>
              </w:rPr>
              <w:t>砂</w:t>
            </w:r>
            <w:r>
              <w:rPr>
                <w:rFonts w:hint="default" w:ascii="Times New Roman" w:hAnsi="Times New Roman" w:cs="Times New Roman"/>
                <w:color w:val="auto"/>
                <w:highlight w:val="none"/>
              </w:rPr>
              <w:t>、消防毯等吸附材料，并配备一定数量的干粉灭火器、二氧化碳灭火器等消防器材</w:t>
            </w:r>
            <w:r>
              <w:rPr>
                <w:rFonts w:hint="eastAsia" w:cs="Times New Roman"/>
                <w:color w:val="auto"/>
                <w:highlight w:val="none"/>
                <w:lang w:eastAsia="zh-CN"/>
              </w:rPr>
              <w:t>，</w:t>
            </w:r>
            <w:r>
              <w:rPr>
                <w:rFonts w:hint="default" w:ascii="Times New Roman" w:hAnsi="Times New Roman" w:cs="Times New Roman"/>
                <w:color w:val="auto"/>
                <w:highlight w:val="none"/>
              </w:rPr>
              <w:t xml:space="preserve"> </w:t>
            </w:r>
            <w:r>
              <w:rPr>
                <w:rFonts w:hint="eastAsia" w:cs="Times New Roman"/>
                <w:color w:val="auto"/>
                <w:highlight w:val="none"/>
                <w:lang w:val="en-US" w:eastAsia="zh-CN"/>
              </w:rPr>
              <w:t>危废间内配备可燃报警仪。</w:t>
            </w:r>
          </w:p>
          <w:p>
            <w:pPr>
              <w:spacing w:line="360" w:lineRule="auto"/>
              <w:ind w:left="480" w:left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（2）事故应急措施 </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①泄漏事故应急措施：各类液态风险物质发生泄漏事故后，少量泄漏以消防沙、抹布等擦拭和吸附，产生的固体废物收集后作为危险废物处理；大量泄漏时隔离现场 以防闲杂人等进入，穿戴防护衣物，以沙土等阻止漏出液的流动，然后将泄漏物尽量回收至空容器内，作为危废处理。</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 ②火灾事故应急措施：发生火灾事故后，刚起火时，用干粉灭火器或消防沙扑灭，灭火后的干粉或者消防沙作为危废处理；大规模火灾时，需要消防水进行灭火，产生消防废水。</w:t>
            </w:r>
          </w:p>
          <w:p>
            <w:pPr>
              <w:spacing w:line="360" w:lineRule="auto"/>
              <w:ind w:firstLine="480" w:firstLineChars="200"/>
              <w:rPr>
                <w:rFonts w:hint="default" w:ascii="Times New Roman" w:hAnsi="Times New Roman" w:cs="Times New Roman"/>
                <w:color w:val="auto"/>
                <w:kern w:val="2"/>
                <w:szCs w:val="24"/>
                <w:highlight w:val="none"/>
                <w:lang w:val="en-GB"/>
              </w:rPr>
            </w:pPr>
            <w:r>
              <w:rPr>
                <w:rFonts w:hint="default" w:ascii="Times New Roman" w:hAnsi="Times New Roman" w:cs="Times New Roman"/>
                <w:color w:val="auto"/>
                <w:kern w:val="2"/>
                <w:szCs w:val="24"/>
                <w:highlight w:val="none"/>
                <w:lang w:val="en-GB"/>
              </w:rPr>
              <w:t>（</w:t>
            </w:r>
            <w:r>
              <w:rPr>
                <w:rFonts w:hint="default" w:ascii="Times New Roman" w:hAnsi="Times New Roman" w:cs="Times New Roman"/>
                <w:color w:val="auto"/>
                <w:kern w:val="2"/>
                <w:szCs w:val="24"/>
                <w:highlight w:val="none"/>
              </w:rPr>
              <w:t>3</w:t>
            </w:r>
            <w:r>
              <w:rPr>
                <w:rFonts w:hint="default" w:ascii="Times New Roman" w:hAnsi="Times New Roman" w:cs="Times New Roman"/>
                <w:color w:val="auto"/>
                <w:kern w:val="2"/>
                <w:szCs w:val="24"/>
                <w:highlight w:val="none"/>
                <w:lang w:val="en-GB"/>
              </w:rPr>
              <w:t>）应急要求</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通过对污染事故的风险评价，建设单位和各有关部门应制定实施突发性事故应急预案，降低重大环境污染事故发生的概率，消除事故风险隐患。</w:t>
            </w:r>
          </w:p>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根据环保部《突发环境事件应急管理办法》（环境保护部令第34号）、《企业事业单位突发环境事件应急预案备案管理办法（试行）》（环发</w:t>
            </w:r>
            <w:r>
              <w:rPr>
                <w:rFonts w:hint="eastAsia" w:cs="Times New Roman"/>
                <w:color w:val="auto"/>
                <w:highlight w:val="none"/>
                <w:lang w:eastAsia="zh-CN"/>
              </w:rPr>
              <w:t>〔</w:t>
            </w:r>
            <w:r>
              <w:rPr>
                <w:rFonts w:hint="default" w:ascii="Times New Roman" w:hAnsi="Times New Roman" w:cs="Times New Roman"/>
                <w:color w:val="auto"/>
                <w:highlight w:val="none"/>
              </w:rPr>
              <w:t>2015</w:t>
            </w:r>
            <w:r>
              <w:rPr>
                <w:rFonts w:hint="eastAsia" w:cs="Times New Roman"/>
                <w:color w:val="auto"/>
                <w:highlight w:val="none"/>
                <w:lang w:eastAsia="zh-CN"/>
              </w:rPr>
              <w:t>〕</w:t>
            </w:r>
            <w:r>
              <w:rPr>
                <w:rFonts w:hint="default" w:ascii="Times New Roman" w:hAnsi="Times New Roman" w:cs="Times New Roman"/>
                <w:color w:val="auto"/>
                <w:highlight w:val="none"/>
              </w:rPr>
              <w:t>4号）、环保部《关于进一步加强环境影响评价管理防范环境风险的通知》（环发</w:t>
            </w:r>
            <w:r>
              <w:rPr>
                <w:rFonts w:hint="eastAsia" w:cs="Times New Roman"/>
                <w:color w:val="auto"/>
                <w:highlight w:val="none"/>
                <w:lang w:eastAsia="zh-CN"/>
              </w:rPr>
              <w:t>〔</w:t>
            </w:r>
            <w:r>
              <w:rPr>
                <w:rFonts w:hint="default" w:ascii="Times New Roman" w:hAnsi="Times New Roman" w:cs="Times New Roman"/>
                <w:color w:val="auto"/>
                <w:highlight w:val="none"/>
              </w:rPr>
              <w:t>2012</w:t>
            </w:r>
            <w:r>
              <w:rPr>
                <w:rFonts w:hint="eastAsia" w:cs="Times New Roman"/>
                <w:color w:val="auto"/>
                <w:highlight w:val="none"/>
                <w:lang w:eastAsia="zh-CN"/>
              </w:rPr>
              <w:t>〕</w:t>
            </w:r>
            <w:r>
              <w:rPr>
                <w:rFonts w:hint="default" w:ascii="Times New Roman" w:hAnsi="Times New Roman" w:cs="Times New Roman"/>
                <w:color w:val="auto"/>
                <w:highlight w:val="none"/>
              </w:rPr>
              <w:t>77号）、《企业突发环境事件风险分级方法》（HJ941-2018）等的规定和要求，建设单位应在产生实际排污前编制突发环境事件应急预案并尽快向所在地生态环境主管部门进行备案，同时注意编制的应急预案应与沿线各区域、各相关企业应急系统衔接。</w:t>
            </w:r>
          </w:p>
          <w:p>
            <w:pPr>
              <w:adjustRightInd w:val="0"/>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综上可知，本项目在进一步采取安全防范措施和事故应急预案后，基本满足国家有关环境保护和安全法规、标准的要求。因此，只要严格遵守各项安全操作规程和制度，加强安全管理，本项目环境风险可防控。</w:t>
            </w:r>
          </w:p>
          <w:p>
            <w:pPr>
              <w:pStyle w:val="28"/>
              <w:ind w:left="0" w:leftChars="0" w:firstLine="0" w:firstLineChars="0"/>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p>
            <w:pPr>
              <w:rPr>
                <w:rFonts w:hint="default"/>
                <w:color w:val="auto"/>
                <w:highlight w:val="none"/>
              </w:rPr>
            </w:pPr>
          </w:p>
        </w:tc>
      </w:tr>
    </w:tbl>
    <w:p>
      <w:pPr>
        <w:adjustRightInd w:val="0"/>
        <w:snapToGrid w:val="0"/>
        <w:spacing w:line="360" w:lineRule="auto"/>
        <w:rPr>
          <w:rFonts w:hint="default" w:ascii="Times New Roman" w:hAnsi="Times New Roman" w:cs="Times New Roman"/>
          <w:b/>
          <w:color w:val="auto"/>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5" w:name="_Hlk54167917"/>
      <w:r>
        <w:rPr>
          <w:rFonts w:hint="default" w:ascii="Times New Roman" w:hAnsi="Times New Roman" w:eastAsia="黑体" w:cs="Times New Roman"/>
          <w:snapToGrid w:val="0"/>
          <w:color w:val="auto"/>
          <w:sz w:val="30"/>
          <w:szCs w:val="30"/>
          <w:highlight w:val="none"/>
        </w:rPr>
        <w:t>环境保护措施监督检查清单</w:t>
      </w:r>
      <w:bookmarkEnd w:id="5"/>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
        <w:gridCol w:w="667"/>
        <w:gridCol w:w="1200"/>
        <w:gridCol w:w="1399"/>
        <w:gridCol w:w="2404"/>
        <w:gridCol w:w="21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tcBorders>
              <w:tl2br w:val="single" w:color="auto" w:sz="4" w:space="0"/>
            </w:tcBorders>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 xml:space="preserve">   内容</w:t>
            </w:r>
          </w:p>
          <w:p>
            <w:pPr>
              <w:adjustRightInd w:val="0"/>
              <w:snapToGrid w:val="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要素</w:t>
            </w:r>
          </w:p>
        </w:tc>
        <w:tc>
          <w:tcPr>
            <w:tcW w:w="1867" w:type="dxa"/>
            <w:gridSpan w:val="2"/>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排放口（编号、名称）/污染源</w:t>
            </w:r>
          </w:p>
        </w:tc>
        <w:tc>
          <w:tcPr>
            <w:tcW w:w="1399" w:type="dxa"/>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污染物项目</w:t>
            </w:r>
          </w:p>
        </w:tc>
        <w:tc>
          <w:tcPr>
            <w:tcW w:w="2404" w:type="dxa"/>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环境保护措施</w:t>
            </w:r>
          </w:p>
        </w:tc>
        <w:tc>
          <w:tcPr>
            <w:tcW w:w="2159" w:type="dxa"/>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Merge w:val="restart"/>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667"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w:t>
            </w:r>
          </w:p>
        </w:tc>
        <w:tc>
          <w:tcPr>
            <w:tcW w:w="1200"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399" w:type="dxa"/>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404"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159"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971" w:type="dxa"/>
            <w:vMerge w:val="continue"/>
            <w:vAlign w:val="center"/>
          </w:tcPr>
          <w:p>
            <w:pPr>
              <w:adjustRightInd w:val="0"/>
              <w:snapToGrid w:val="0"/>
              <w:jc w:val="center"/>
              <w:rPr>
                <w:rFonts w:hint="default" w:ascii="Times New Roman" w:hAnsi="Times New Roman" w:cs="Times New Roman"/>
                <w:color w:val="auto"/>
                <w:sz w:val="21"/>
                <w:szCs w:val="21"/>
                <w:highlight w:val="none"/>
              </w:rPr>
            </w:pPr>
          </w:p>
        </w:tc>
        <w:tc>
          <w:tcPr>
            <w:tcW w:w="667" w:type="dxa"/>
            <w:vMerge w:val="restart"/>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运营期</w:t>
            </w:r>
          </w:p>
        </w:tc>
        <w:tc>
          <w:tcPr>
            <w:tcW w:w="1200" w:type="dxa"/>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生产车间1内火焰切割机、埋弧焊机、二保焊机、电焊机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角磨机</w:t>
            </w:r>
            <w:r>
              <w:rPr>
                <w:rFonts w:hint="default" w:ascii="Times New Roman" w:hAnsi="Times New Roman" w:cs="Times New Roman"/>
                <w:color w:val="auto"/>
                <w:sz w:val="21"/>
                <w:szCs w:val="21"/>
                <w:highlight w:val="none"/>
              </w:rPr>
              <w:t>工作过程</w:t>
            </w:r>
            <w:r>
              <w:rPr>
                <w:rFonts w:hint="eastAsia" w:cs="Times New Roman"/>
                <w:color w:val="auto"/>
                <w:sz w:val="21"/>
                <w:szCs w:val="21"/>
                <w:highlight w:val="none"/>
                <w:lang w:val="en-US" w:eastAsia="zh-CN"/>
              </w:rPr>
              <w:t>/P1</w:t>
            </w:r>
          </w:p>
        </w:tc>
        <w:tc>
          <w:tcPr>
            <w:tcW w:w="1399" w:type="dxa"/>
            <w:vAlign w:val="center"/>
          </w:tcPr>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颗粒物</w:t>
            </w:r>
          </w:p>
        </w:tc>
        <w:tc>
          <w:tcPr>
            <w:tcW w:w="2404" w:type="dxa"/>
            <w:vAlign w:val="center"/>
          </w:tcPr>
          <w:p>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火焰切割机产生的颗粒物经切割枪头处可移动集气罩收集，埋弧焊机、二保焊机、电焊机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角磨机</w:t>
            </w:r>
            <w:r>
              <w:rPr>
                <w:rFonts w:hint="default" w:ascii="Times New Roman" w:hAnsi="Times New Roman" w:cs="Times New Roman"/>
                <w:color w:val="auto"/>
                <w:sz w:val="21"/>
                <w:szCs w:val="21"/>
                <w:highlight w:val="none"/>
              </w:rPr>
              <w:t>产生的颗粒物经万向集气罩收集，上述颗粒物经收集后通过一套1#布袋除尘器+18m高排气筒P1有组织排放。</w:t>
            </w:r>
          </w:p>
        </w:tc>
        <w:tc>
          <w:tcPr>
            <w:tcW w:w="2159" w:type="dxa"/>
            <w:vAlign w:val="center"/>
          </w:tcPr>
          <w:p>
            <w:pPr>
              <w:pStyle w:val="16"/>
              <w:spacing w:line="240" w:lineRule="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971" w:type="dxa"/>
            <w:vMerge w:val="continue"/>
            <w:vAlign w:val="center"/>
          </w:tcPr>
          <w:p>
            <w:pPr>
              <w:adjustRightInd w:val="0"/>
              <w:snapToGrid w:val="0"/>
              <w:jc w:val="center"/>
              <w:rPr>
                <w:rFonts w:hint="default" w:ascii="Times New Roman" w:hAnsi="Times New Roman" w:cs="Times New Roman"/>
                <w:color w:val="auto"/>
                <w:sz w:val="21"/>
                <w:szCs w:val="21"/>
                <w:highlight w:val="none"/>
              </w:rPr>
            </w:pPr>
          </w:p>
        </w:tc>
        <w:tc>
          <w:tcPr>
            <w:tcW w:w="667" w:type="dxa"/>
            <w:vMerge w:val="continue"/>
            <w:vAlign w:val="center"/>
          </w:tcPr>
          <w:p>
            <w:pPr>
              <w:jc w:val="center"/>
              <w:rPr>
                <w:rFonts w:hint="default" w:ascii="Times New Roman" w:hAnsi="Times New Roman" w:cs="Times New Roman"/>
                <w:color w:val="auto"/>
                <w:sz w:val="21"/>
                <w:szCs w:val="21"/>
                <w:highlight w:val="none"/>
              </w:rPr>
            </w:pPr>
          </w:p>
        </w:tc>
        <w:tc>
          <w:tcPr>
            <w:tcW w:w="1200" w:type="dxa"/>
            <w:vAlign w:val="center"/>
          </w:tcPr>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生产车间2内火焰切割机、半自动火焰切割机、埋弧焊机、二保焊机、电焊机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角磨机</w:t>
            </w:r>
            <w:r>
              <w:rPr>
                <w:rFonts w:hint="default" w:ascii="Times New Roman" w:hAnsi="Times New Roman" w:cs="Times New Roman"/>
                <w:color w:val="auto"/>
                <w:sz w:val="21"/>
                <w:szCs w:val="21"/>
                <w:highlight w:val="none"/>
              </w:rPr>
              <w:t>工作过程</w:t>
            </w:r>
          </w:p>
        </w:tc>
        <w:tc>
          <w:tcPr>
            <w:tcW w:w="1399" w:type="dxa"/>
            <w:vAlign w:val="center"/>
          </w:tcPr>
          <w:p>
            <w:pPr>
              <w:spacing w:line="240" w:lineRule="auto"/>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颗粒物</w:t>
            </w:r>
          </w:p>
        </w:tc>
        <w:tc>
          <w:tcPr>
            <w:tcW w:w="2404" w:type="dxa"/>
            <w:vAlign w:val="center"/>
          </w:tcPr>
          <w:p>
            <w:pPr>
              <w:spacing w:line="240" w:lineRule="auto"/>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火焰切割机产生的颗粒物经切割枪头处可移动集气罩收集，埋弧焊机、二保焊机、电焊机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角磨机产生的颗粒物经万向集气罩收集，上述颗粒物经收集后通过一套2#布袋除尘器+18m高排气筒P2有组织排放。</w:t>
            </w:r>
          </w:p>
        </w:tc>
        <w:tc>
          <w:tcPr>
            <w:tcW w:w="2159" w:type="dxa"/>
            <w:vAlign w:val="center"/>
          </w:tcPr>
          <w:p>
            <w:pPr>
              <w:pStyle w:val="16"/>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pPr>
              <w:adjustRightInd w:val="0"/>
              <w:snapToGrid w:val="0"/>
              <w:jc w:val="center"/>
              <w:rPr>
                <w:rFonts w:hint="default" w:ascii="Times New Roman" w:hAnsi="Times New Roman" w:cs="Times New Roman"/>
                <w:color w:val="auto"/>
                <w:sz w:val="21"/>
                <w:szCs w:val="21"/>
                <w:highlight w:val="none"/>
              </w:rPr>
            </w:pPr>
          </w:p>
        </w:tc>
        <w:tc>
          <w:tcPr>
            <w:tcW w:w="667" w:type="dxa"/>
            <w:vMerge w:val="continue"/>
            <w:vAlign w:val="center"/>
          </w:tcPr>
          <w:p>
            <w:pPr>
              <w:jc w:val="center"/>
              <w:rPr>
                <w:rFonts w:hint="default" w:ascii="Times New Roman" w:hAnsi="Times New Roman" w:cs="Times New Roman"/>
                <w:color w:val="auto"/>
                <w:sz w:val="21"/>
                <w:szCs w:val="21"/>
                <w:highlight w:val="none"/>
              </w:rPr>
            </w:pPr>
          </w:p>
        </w:tc>
        <w:tc>
          <w:tcPr>
            <w:tcW w:w="1200" w:type="dxa"/>
            <w:vAlign w:val="center"/>
          </w:tcPr>
          <w:p>
            <w:pPr>
              <w:spacing w:line="240" w:lineRule="auto"/>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生产车间2内抛丸机工作过程</w:t>
            </w:r>
          </w:p>
        </w:tc>
        <w:tc>
          <w:tcPr>
            <w:tcW w:w="1399" w:type="dxa"/>
            <w:vAlign w:val="center"/>
          </w:tcPr>
          <w:p>
            <w:pPr>
              <w:spacing w:line="240" w:lineRule="auto"/>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颗粒物</w:t>
            </w:r>
          </w:p>
        </w:tc>
        <w:tc>
          <w:tcPr>
            <w:tcW w:w="2404" w:type="dxa"/>
            <w:vAlign w:val="center"/>
          </w:tcPr>
          <w:p>
            <w:pPr>
              <w:adjustRightInd w:val="0"/>
              <w:snapToGrid w:val="0"/>
              <w:spacing w:line="240" w:lineRule="auto"/>
              <w:rPr>
                <w:rFonts w:hint="default" w:ascii="Times New Roman" w:hAnsi="Times New Roman"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抛丸机产生的颗粒物经自带3#布袋除尘器+18m排气筒P3排放</w:t>
            </w:r>
            <w:r>
              <w:rPr>
                <w:rFonts w:hint="eastAsia" w:cs="Times New Roman"/>
                <w:color w:val="auto"/>
                <w:sz w:val="21"/>
                <w:szCs w:val="21"/>
                <w:highlight w:val="none"/>
                <w:lang w:val="en-US" w:eastAsia="zh-CN"/>
              </w:rPr>
              <w:t>。</w:t>
            </w:r>
          </w:p>
        </w:tc>
        <w:tc>
          <w:tcPr>
            <w:tcW w:w="2159" w:type="dxa"/>
            <w:vAlign w:val="center"/>
          </w:tcPr>
          <w:p>
            <w:pPr>
              <w:pStyle w:val="16"/>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pPr>
              <w:adjustRightInd w:val="0"/>
              <w:snapToGrid w:val="0"/>
              <w:jc w:val="center"/>
              <w:rPr>
                <w:rFonts w:hint="default" w:ascii="Times New Roman" w:hAnsi="Times New Roman" w:cs="Times New Roman"/>
                <w:color w:val="auto"/>
                <w:sz w:val="21"/>
                <w:szCs w:val="21"/>
                <w:highlight w:val="none"/>
              </w:rPr>
            </w:pPr>
          </w:p>
        </w:tc>
        <w:tc>
          <w:tcPr>
            <w:tcW w:w="667" w:type="dxa"/>
            <w:vMerge w:val="continue"/>
            <w:vAlign w:val="center"/>
          </w:tcPr>
          <w:p>
            <w:pPr>
              <w:jc w:val="center"/>
              <w:rPr>
                <w:rFonts w:hint="default" w:ascii="Times New Roman" w:hAnsi="Times New Roman" w:cs="Times New Roman"/>
                <w:color w:val="auto"/>
                <w:sz w:val="21"/>
                <w:szCs w:val="21"/>
                <w:highlight w:val="none"/>
              </w:rPr>
            </w:pPr>
          </w:p>
        </w:tc>
        <w:tc>
          <w:tcPr>
            <w:tcW w:w="1200" w:type="dxa"/>
            <w:vAlign w:val="center"/>
          </w:tcPr>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生产车间3内火焰切割机、半自动火焰切割机、埋弧焊机、二保焊机、电焊机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角磨机工作过程</w:t>
            </w:r>
          </w:p>
        </w:tc>
        <w:tc>
          <w:tcPr>
            <w:tcW w:w="1399" w:type="dxa"/>
            <w:vAlign w:val="center"/>
          </w:tcPr>
          <w:p>
            <w:pPr>
              <w:spacing w:line="240" w:lineRule="auto"/>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颗粒物</w:t>
            </w:r>
          </w:p>
        </w:tc>
        <w:tc>
          <w:tcPr>
            <w:tcW w:w="2404" w:type="dxa"/>
            <w:vAlign w:val="center"/>
          </w:tcPr>
          <w:p>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火焰切割机产生的颗粒物经切割枪头处可移动集气罩收集，埋弧焊机、二保焊机、电焊机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角磨机</w:t>
            </w:r>
            <w:r>
              <w:rPr>
                <w:rFonts w:hint="default" w:ascii="Times New Roman" w:hAnsi="Times New Roman" w:cs="Times New Roman"/>
                <w:color w:val="auto"/>
                <w:sz w:val="21"/>
                <w:szCs w:val="21"/>
                <w:highlight w:val="none"/>
              </w:rPr>
              <w:t>产生的颗粒物经万向集气罩收集，上述颗粒物经收集后通过一套4#布袋除尘器+18m高排气筒P4有组织排放。</w:t>
            </w:r>
          </w:p>
        </w:tc>
        <w:tc>
          <w:tcPr>
            <w:tcW w:w="2159" w:type="dxa"/>
            <w:vAlign w:val="center"/>
          </w:tcPr>
          <w:p>
            <w:pPr>
              <w:pStyle w:val="16"/>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971" w:type="dxa"/>
            <w:vMerge w:val="continue"/>
            <w:vAlign w:val="center"/>
          </w:tcPr>
          <w:p>
            <w:pPr>
              <w:adjustRightInd w:val="0"/>
              <w:snapToGrid w:val="0"/>
              <w:jc w:val="center"/>
              <w:rPr>
                <w:rFonts w:hint="default" w:ascii="Times New Roman" w:hAnsi="Times New Roman" w:cs="Times New Roman"/>
                <w:color w:val="auto"/>
                <w:sz w:val="21"/>
                <w:szCs w:val="21"/>
                <w:highlight w:val="none"/>
              </w:rPr>
            </w:pPr>
          </w:p>
        </w:tc>
        <w:tc>
          <w:tcPr>
            <w:tcW w:w="667" w:type="dxa"/>
            <w:vMerge w:val="continue"/>
            <w:vAlign w:val="center"/>
          </w:tcPr>
          <w:p>
            <w:pPr>
              <w:jc w:val="center"/>
              <w:rPr>
                <w:rFonts w:hint="default" w:ascii="Times New Roman" w:hAnsi="Times New Roman" w:cs="Times New Roman"/>
                <w:color w:val="auto"/>
                <w:sz w:val="21"/>
                <w:szCs w:val="21"/>
                <w:highlight w:val="none"/>
              </w:rPr>
            </w:pPr>
          </w:p>
        </w:tc>
        <w:tc>
          <w:tcPr>
            <w:tcW w:w="1200" w:type="dxa"/>
            <w:vAlign w:val="center"/>
          </w:tcPr>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生产车间3内抛丸机</w:t>
            </w:r>
            <w:r>
              <w:rPr>
                <w:rFonts w:hint="eastAsia" w:cs="Times New Roman"/>
                <w:color w:val="auto"/>
                <w:sz w:val="21"/>
                <w:szCs w:val="21"/>
                <w:highlight w:val="none"/>
                <w:lang w:val="en-US" w:eastAsia="zh-CN"/>
              </w:rPr>
              <w:t>工作过程</w:t>
            </w:r>
          </w:p>
        </w:tc>
        <w:tc>
          <w:tcPr>
            <w:tcW w:w="1399" w:type="dxa"/>
            <w:vAlign w:val="center"/>
          </w:tcPr>
          <w:p>
            <w:pPr>
              <w:spacing w:line="240" w:lineRule="auto"/>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颗粒物</w:t>
            </w:r>
          </w:p>
        </w:tc>
        <w:tc>
          <w:tcPr>
            <w:tcW w:w="2404" w:type="dxa"/>
            <w:vAlign w:val="center"/>
          </w:tcPr>
          <w:p>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抛丸机产生的颗粒物经自带5#布袋除尘器+18m排气筒P5排放。</w:t>
            </w:r>
          </w:p>
        </w:tc>
        <w:tc>
          <w:tcPr>
            <w:tcW w:w="2159" w:type="dxa"/>
            <w:vAlign w:val="center"/>
          </w:tcPr>
          <w:p>
            <w:pPr>
              <w:pStyle w:val="16"/>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1" w:type="dxa"/>
            <w:vMerge w:val="continue"/>
            <w:vAlign w:val="center"/>
          </w:tcPr>
          <w:p>
            <w:pPr>
              <w:adjustRightInd w:val="0"/>
              <w:snapToGrid w:val="0"/>
              <w:jc w:val="center"/>
              <w:rPr>
                <w:rFonts w:hint="default" w:ascii="Times New Roman" w:hAnsi="Times New Roman" w:cs="Times New Roman"/>
                <w:color w:val="auto"/>
                <w:sz w:val="21"/>
                <w:szCs w:val="21"/>
                <w:highlight w:val="none"/>
              </w:rPr>
            </w:pPr>
          </w:p>
        </w:tc>
        <w:tc>
          <w:tcPr>
            <w:tcW w:w="667" w:type="dxa"/>
            <w:vMerge w:val="continue"/>
            <w:vAlign w:val="center"/>
          </w:tcPr>
          <w:p>
            <w:pPr>
              <w:jc w:val="center"/>
              <w:rPr>
                <w:rFonts w:hint="default" w:ascii="Times New Roman" w:hAnsi="Times New Roman" w:cs="Times New Roman"/>
                <w:color w:val="auto"/>
                <w:sz w:val="21"/>
                <w:szCs w:val="21"/>
                <w:highlight w:val="none"/>
              </w:rPr>
            </w:pPr>
          </w:p>
        </w:tc>
        <w:tc>
          <w:tcPr>
            <w:tcW w:w="1200" w:type="dxa"/>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生产车间1内</w:t>
            </w:r>
            <w:r>
              <w:rPr>
                <w:rFonts w:hint="default" w:ascii="Times New Roman" w:hAnsi="Times New Roman" w:cs="Times New Roman"/>
                <w:color w:val="auto"/>
                <w:sz w:val="21"/>
                <w:szCs w:val="21"/>
                <w:highlight w:val="none"/>
              </w:rPr>
              <w:t>伸缩式喷漆房内调漆-喷漆-晾干过程</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排气筒P</w:t>
            </w:r>
            <w:r>
              <w:rPr>
                <w:rFonts w:hint="eastAsia" w:cs="Times New Roman"/>
                <w:color w:val="auto"/>
                <w:sz w:val="21"/>
                <w:szCs w:val="21"/>
                <w:highlight w:val="none"/>
                <w:lang w:val="en-US" w:eastAsia="zh-CN"/>
              </w:rPr>
              <w:t>6</w:t>
            </w:r>
          </w:p>
        </w:tc>
        <w:tc>
          <w:tcPr>
            <w:tcW w:w="1399" w:type="dxa"/>
            <w:vAlign w:val="center"/>
          </w:tcPr>
          <w:p>
            <w:pPr>
              <w:spacing w:line="240" w:lineRule="auto"/>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TRVOC、非甲烷总烃、二甲苯、</w:t>
            </w:r>
            <w:r>
              <w:rPr>
                <w:rFonts w:hint="eastAsia" w:cs="Times New Roman"/>
                <w:color w:val="auto"/>
                <w:sz w:val="21"/>
                <w:szCs w:val="21"/>
                <w:highlight w:val="none"/>
                <w:lang w:val="en-US" w:eastAsia="zh-CN"/>
              </w:rPr>
              <w:t>乙苯、</w:t>
            </w:r>
            <w:r>
              <w:rPr>
                <w:rFonts w:hint="default" w:ascii="Times New Roman" w:hAnsi="Times New Roman" w:cs="Times New Roman"/>
                <w:color w:val="auto"/>
                <w:sz w:val="21"/>
                <w:szCs w:val="21"/>
                <w:highlight w:val="none"/>
              </w:rPr>
              <w:t>臭气浓度</w:t>
            </w:r>
            <w:r>
              <w:rPr>
                <w:rFonts w:hint="eastAsia" w:cs="Times New Roman"/>
                <w:color w:val="auto"/>
                <w:sz w:val="21"/>
                <w:szCs w:val="21"/>
                <w:highlight w:val="none"/>
                <w:lang w:eastAsia="zh-CN"/>
              </w:rPr>
              <w:t>。</w:t>
            </w:r>
          </w:p>
        </w:tc>
        <w:tc>
          <w:tcPr>
            <w:tcW w:w="2404" w:type="dxa"/>
            <w:vAlign w:val="center"/>
          </w:tcPr>
          <w:p>
            <w:pPr>
              <w:adjustRightInd w:val="0"/>
              <w:snapToGrid w:val="0"/>
              <w:spacing w:line="240" w:lineRule="auto"/>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bidi="ar"/>
              </w:rPr>
              <w:t>伸缩式喷漆房内</w:t>
            </w:r>
            <w:r>
              <w:rPr>
                <w:rFonts w:hint="default" w:ascii="Times New Roman" w:hAnsi="Times New Roman" w:cs="Times New Roman"/>
                <w:color w:val="auto"/>
                <w:sz w:val="21"/>
                <w:szCs w:val="21"/>
                <w:highlight w:val="none"/>
                <w:lang w:bidi="ar"/>
              </w:rPr>
              <w:t>调漆-喷漆-晾干过程中的废气经密闭喷漆房内整体换风微负压环境进行废气收集，采用</w:t>
            </w:r>
            <w:r>
              <w:rPr>
                <w:rFonts w:hint="eastAsia" w:ascii="Times New Roman" w:hAnsi="Times New Roman" w:cs="Times New Roman"/>
                <w:color w:val="auto"/>
                <w:sz w:val="21"/>
                <w:szCs w:val="21"/>
                <w:highlight w:val="none"/>
                <w:lang w:val="en-US" w:eastAsia="zh-CN" w:bidi="ar"/>
              </w:rPr>
              <w:t>伸缩式</w:t>
            </w:r>
            <w:r>
              <w:rPr>
                <w:rFonts w:hint="default" w:ascii="Times New Roman" w:hAnsi="Times New Roman" w:cs="Times New Roman"/>
                <w:color w:val="auto"/>
                <w:sz w:val="21"/>
                <w:szCs w:val="21"/>
                <w:highlight w:val="none"/>
                <w:lang w:bidi="ar"/>
              </w:rPr>
              <w:t>喷漆房内</w:t>
            </w:r>
            <w:r>
              <w:rPr>
                <w:rFonts w:hint="eastAsia" w:ascii="Times New Roman" w:hAnsi="Times New Roman" w:cs="Times New Roman"/>
                <w:color w:val="auto"/>
                <w:sz w:val="21"/>
                <w:szCs w:val="21"/>
                <w:highlight w:val="none"/>
                <w:lang w:val="en-US" w:eastAsia="zh-CN" w:bidi="ar"/>
              </w:rPr>
              <w:t>水帘</w:t>
            </w:r>
            <w:r>
              <w:rPr>
                <w:rFonts w:hint="default" w:ascii="Times New Roman" w:hAnsi="Times New Roman" w:cs="Times New Roman"/>
                <w:color w:val="auto"/>
                <w:sz w:val="21"/>
                <w:szCs w:val="21"/>
                <w:highlight w:val="none"/>
                <w:lang w:bidi="ar"/>
              </w:rPr>
              <w:t>+干式过滤</w:t>
            </w:r>
            <w:r>
              <w:rPr>
                <w:rFonts w:hint="eastAsia" w:ascii="Times New Roman" w:hAnsi="Times New Roman" w:cs="Times New Roman"/>
                <w:color w:val="auto"/>
                <w:sz w:val="21"/>
                <w:szCs w:val="21"/>
                <w:highlight w:val="none"/>
                <w:lang w:val="en-US" w:eastAsia="zh-CN" w:bidi="ar"/>
              </w:rPr>
              <w:t>棉</w:t>
            </w:r>
            <w:r>
              <w:rPr>
                <w:rFonts w:hint="default" w:ascii="Times New Roman" w:hAnsi="Times New Roman" w:cs="Times New Roman"/>
                <w:color w:val="auto"/>
                <w:sz w:val="21"/>
                <w:szCs w:val="21"/>
                <w:highlight w:val="none"/>
                <w:lang w:bidi="ar"/>
              </w:rPr>
              <w:t>进行</w:t>
            </w:r>
            <w:r>
              <w:rPr>
                <w:rFonts w:hint="eastAsia" w:ascii="Times New Roman" w:hAnsi="Times New Roman" w:cs="Times New Roman"/>
                <w:color w:val="auto"/>
                <w:sz w:val="21"/>
                <w:szCs w:val="21"/>
                <w:highlight w:val="none"/>
                <w:lang w:val="en-US" w:eastAsia="zh-CN" w:bidi="ar"/>
              </w:rPr>
              <w:t>除</w:t>
            </w:r>
            <w:r>
              <w:rPr>
                <w:rFonts w:hint="default" w:ascii="Times New Roman" w:hAnsi="Times New Roman" w:cs="Times New Roman"/>
                <w:color w:val="auto"/>
                <w:sz w:val="21"/>
                <w:szCs w:val="21"/>
                <w:highlight w:val="none"/>
                <w:lang w:bidi="ar"/>
              </w:rPr>
              <w:t>漆雾，去除漆雾的废气通入1 套</w:t>
            </w:r>
            <w:r>
              <w:rPr>
                <w:rFonts w:hint="eastAsia" w:cs="Times New Roman"/>
                <w:color w:val="auto"/>
                <w:sz w:val="21"/>
                <w:szCs w:val="21"/>
                <w:highlight w:val="none"/>
                <w:lang w:eastAsia="zh-CN" w:bidi="ar"/>
              </w:rPr>
              <w:t>活性炭吸附、脱附催化燃烧</w:t>
            </w:r>
            <w:r>
              <w:rPr>
                <w:rFonts w:hint="default" w:ascii="Times New Roman" w:hAnsi="Times New Roman" w:cs="Times New Roman"/>
                <w:color w:val="auto"/>
                <w:sz w:val="21"/>
                <w:szCs w:val="21"/>
                <w:highlight w:val="none"/>
                <w:lang w:bidi="ar"/>
              </w:rPr>
              <w:t>装置处理后，通过1根15m 高排气筒P</w:t>
            </w:r>
            <w:r>
              <w:rPr>
                <w:rFonts w:hint="eastAsia" w:ascii="Times New Roman" w:hAnsi="Times New Roman" w:cs="Times New Roman"/>
                <w:color w:val="auto"/>
                <w:sz w:val="21"/>
                <w:szCs w:val="21"/>
                <w:highlight w:val="none"/>
                <w:lang w:val="en-US" w:eastAsia="zh-CN" w:bidi="ar"/>
              </w:rPr>
              <w:t>6</w:t>
            </w:r>
            <w:r>
              <w:rPr>
                <w:rFonts w:hint="default" w:ascii="Times New Roman" w:hAnsi="Times New Roman" w:cs="Times New Roman"/>
                <w:color w:val="auto"/>
                <w:sz w:val="21"/>
                <w:szCs w:val="21"/>
                <w:highlight w:val="none"/>
                <w:lang w:bidi="ar"/>
              </w:rPr>
              <w:t>排放</w:t>
            </w:r>
            <w:r>
              <w:rPr>
                <w:rFonts w:hint="eastAsia" w:ascii="Times New Roman" w:hAnsi="Times New Roman" w:cs="Times New Roman"/>
                <w:color w:val="auto"/>
                <w:sz w:val="21"/>
                <w:szCs w:val="21"/>
                <w:highlight w:val="none"/>
                <w:lang w:eastAsia="zh-CN" w:bidi="ar"/>
              </w:rPr>
              <w:t>。</w:t>
            </w:r>
          </w:p>
        </w:tc>
        <w:tc>
          <w:tcPr>
            <w:tcW w:w="2159" w:type="dxa"/>
            <w:vAlign w:val="center"/>
          </w:tcPr>
          <w:p>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《工业企业挥发性有机物排放控制标准》（DB12/524-2020）、《恶臭污染物排放标准》（DB12/-059-2018）、《大气污染物综合排放标准》（GB16297-1996）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971" w:type="dxa"/>
            <w:vMerge w:val="continue"/>
            <w:vAlign w:val="center"/>
          </w:tcPr>
          <w:p>
            <w:pPr>
              <w:adjustRightInd w:val="0"/>
              <w:snapToGrid w:val="0"/>
              <w:jc w:val="center"/>
              <w:rPr>
                <w:rFonts w:hint="default" w:ascii="Times New Roman" w:hAnsi="Times New Roman" w:cs="Times New Roman"/>
                <w:color w:val="auto"/>
                <w:sz w:val="21"/>
                <w:szCs w:val="21"/>
                <w:highlight w:val="none"/>
              </w:rPr>
            </w:pPr>
          </w:p>
        </w:tc>
        <w:tc>
          <w:tcPr>
            <w:tcW w:w="667" w:type="dxa"/>
            <w:vMerge w:val="continue"/>
            <w:vAlign w:val="center"/>
          </w:tcPr>
          <w:p>
            <w:pPr>
              <w:jc w:val="center"/>
              <w:rPr>
                <w:rFonts w:hint="default" w:ascii="Times New Roman" w:hAnsi="Times New Roman" w:cs="Times New Roman"/>
                <w:color w:val="auto"/>
                <w:sz w:val="21"/>
                <w:szCs w:val="21"/>
                <w:highlight w:val="none"/>
              </w:rPr>
            </w:pPr>
          </w:p>
        </w:tc>
        <w:tc>
          <w:tcPr>
            <w:tcW w:w="1200" w:type="dxa"/>
            <w:vMerge w:val="restart"/>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w:t>
            </w:r>
          </w:p>
        </w:tc>
        <w:tc>
          <w:tcPr>
            <w:tcW w:w="1399" w:type="dxa"/>
            <w:vAlign w:val="center"/>
          </w:tcPr>
          <w:p>
            <w:pPr>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rPr>
              <w:t>颗粒物、非甲烷总烃</w:t>
            </w:r>
            <w:r>
              <w:rPr>
                <w:rFonts w:hint="eastAsia" w:cs="Times New Roman"/>
                <w:color w:val="auto"/>
                <w:kern w:val="2"/>
                <w:sz w:val="21"/>
                <w:szCs w:val="21"/>
                <w:highlight w:val="none"/>
                <w:lang w:eastAsia="zh-CN"/>
              </w:rPr>
              <w:t>、</w:t>
            </w:r>
            <w:r>
              <w:rPr>
                <w:rFonts w:hint="eastAsia" w:cs="Times New Roman"/>
                <w:color w:val="auto"/>
                <w:kern w:val="2"/>
                <w:sz w:val="21"/>
                <w:szCs w:val="21"/>
                <w:highlight w:val="none"/>
                <w:lang w:val="en-US" w:eastAsia="zh-CN"/>
              </w:rPr>
              <w:t>二甲苯</w:t>
            </w:r>
          </w:p>
        </w:tc>
        <w:tc>
          <w:tcPr>
            <w:tcW w:w="2404" w:type="dxa"/>
            <w:vAlign w:val="center"/>
          </w:tcPr>
          <w:p>
            <w:pPr>
              <w:autoSpaceDE w:val="0"/>
              <w:autoSpaceDN w:val="0"/>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加强集气装置及风机维护</w:t>
            </w:r>
          </w:p>
        </w:tc>
        <w:tc>
          <w:tcPr>
            <w:tcW w:w="2159" w:type="dxa"/>
            <w:vAlign w:val="center"/>
          </w:tcPr>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971" w:type="dxa"/>
            <w:vMerge w:val="continue"/>
            <w:vAlign w:val="center"/>
          </w:tcPr>
          <w:p>
            <w:pPr>
              <w:adjustRightInd w:val="0"/>
              <w:snapToGrid w:val="0"/>
              <w:jc w:val="center"/>
              <w:rPr>
                <w:rFonts w:hint="default" w:ascii="Times New Roman" w:hAnsi="Times New Roman" w:cs="Times New Roman"/>
                <w:color w:val="auto"/>
                <w:sz w:val="21"/>
                <w:szCs w:val="21"/>
                <w:highlight w:val="none"/>
              </w:rPr>
            </w:pPr>
          </w:p>
        </w:tc>
        <w:tc>
          <w:tcPr>
            <w:tcW w:w="667" w:type="dxa"/>
            <w:vMerge w:val="continue"/>
            <w:vAlign w:val="center"/>
          </w:tcPr>
          <w:p>
            <w:pPr>
              <w:jc w:val="center"/>
              <w:rPr>
                <w:rFonts w:hint="default" w:ascii="Times New Roman" w:hAnsi="Times New Roman" w:cs="Times New Roman"/>
                <w:color w:val="auto"/>
                <w:sz w:val="21"/>
                <w:szCs w:val="21"/>
                <w:highlight w:val="none"/>
              </w:rPr>
            </w:pPr>
          </w:p>
        </w:tc>
        <w:tc>
          <w:tcPr>
            <w:tcW w:w="1200" w:type="dxa"/>
            <w:vMerge w:val="continue"/>
            <w:vAlign w:val="center"/>
          </w:tcPr>
          <w:p>
            <w:pPr>
              <w:widowControl/>
              <w:jc w:val="center"/>
              <w:rPr>
                <w:rFonts w:hint="default" w:ascii="Times New Roman" w:hAnsi="Times New Roman" w:cs="Times New Roman"/>
                <w:color w:val="auto"/>
                <w:sz w:val="21"/>
                <w:szCs w:val="21"/>
                <w:highlight w:val="none"/>
              </w:rPr>
            </w:pPr>
          </w:p>
        </w:tc>
        <w:tc>
          <w:tcPr>
            <w:tcW w:w="1399" w:type="dxa"/>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臭气浓度</w:t>
            </w:r>
          </w:p>
        </w:tc>
        <w:tc>
          <w:tcPr>
            <w:tcW w:w="2404" w:type="dxa"/>
            <w:vAlign w:val="center"/>
          </w:tcPr>
          <w:p>
            <w:pPr>
              <w:autoSpaceDE w:val="0"/>
              <w:autoSpaceDN w:val="0"/>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加强集气装置及风机维护</w:t>
            </w:r>
          </w:p>
        </w:tc>
        <w:tc>
          <w:tcPr>
            <w:tcW w:w="2159" w:type="dxa"/>
            <w:vAlign w:val="center"/>
          </w:tcPr>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《恶臭污染物排放标准》（DB12/-059-2018）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971" w:type="dxa"/>
            <w:vMerge w:val="continue"/>
            <w:vAlign w:val="center"/>
          </w:tcPr>
          <w:p>
            <w:pPr>
              <w:adjustRightInd w:val="0"/>
              <w:snapToGrid w:val="0"/>
              <w:jc w:val="center"/>
              <w:rPr>
                <w:rFonts w:hint="default" w:ascii="Times New Roman" w:hAnsi="Times New Roman" w:cs="Times New Roman"/>
                <w:color w:val="auto"/>
                <w:sz w:val="21"/>
                <w:szCs w:val="21"/>
                <w:highlight w:val="none"/>
              </w:rPr>
            </w:pPr>
          </w:p>
        </w:tc>
        <w:tc>
          <w:tcPr>
            <w:tcW w:w="667" w:type="dxa"/>
            <w:vMerge w:val="continue"/>
            <w:vAlign w:val="center"/>
          </w:tcPr>
          <w:p>
            <w:pPr>
              <w:jc w:val="center"/>
              <w:rPr>
                <w:rFonts w:hint="default" w:ascii="Times New Roman" w:hAnsi="Times New Roman" w:cs="Times New Roman"/>
                <w:color w:val="auto"/>
                <w:sz w:val="21"/>
                <w:szCs w:val="21"/>
                <w:highlight w:val="none"/>
              </w:rPr>
            </w:pPr>
          </w:p>
        </w:tc>
        <w:tc>
          <w:tcPr>
            <w:tcW w:w="1200" w:type="dxa"/>
            <w:vAlign w:val="center"/>
          </w:tcPr>
          <w:p>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厂房外监控点</w:t>
            </w:r>
          </w:p>
        </w:tc>
        <w:tc>
          <w:tcPr>
            <w:tcW w:w="1399" w:type="dxa"/>
            <w:vAlign w:val="center"/>
          </w:tcPr>
          <w:p>
            <w:pPr>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非甲烷总烃</w:t>
            </w:r>
          </w:p>
        </w:tc>
        <w:tc>
          <w:tcPr>
            <w:tcW w:w="2404" w:type="dxa"/>
            <w:vAlign w:val="center"/>
          </w:tcPr>
          <w:p>
            <w:pPr>
              <w:autoSpaceDE w:val="0"/>
              <w:autoSpaceDN w:val="0"/>
              <w:adjustRightIn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加强集气装置及风机维护</w:t>
            </w:r>
          </w:p>
        </w:tc>
        <w:tc>
          <w:tcPr>
            <w:tcW w:w="2159" w:type="dxa"/>
            <w:vAlign w:val="center"/>
          </w:tcPr>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《工业企业挥发性有机物排放控制标准》（DB12/524-2020）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地表水环境</w:t>
            </w:r>
          </w:p>
        </w:tc>
        <w:tc>
          <w:tcPr>
            <w:tcW w:w="1867" w:type="dxa"/>
            <w:gridSpan w:val="2"/>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厂区总排口</w:t>
            </w:r>
          </w:p>
        </w:tc>
        <w:tc>
          <w:tcPr>
            <w:tcW w:w="1399" w:type="dxa"/>
            <w:vAlign w:val="center"/>
          </w:tcPr>
          <w:p>
            <w:pP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pH、SS、CODcr、BOD</w:t>
            </w:r>
            <w:r>
              <w:rPr>
                <w:rFonts w:hint="default" w:ascii="Times New Roman" w:hAnsi="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、氨氮、总磷、总氮、石油类</w:t>
            </w:r>
          </w:p>
        </w:tc>
        <w:tc>
          <w:tcPr>
            <w:tcW w:w="2404" w:type="dxa"/>
            <w:vAlign w:val="center"/>
          </w:tcPr>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污水</w:t>
            </w:r>
            <w:r>
              <w:rPr>
                <w:rFonts w:hint="eastAsia" w:cs="Times New Roman"/>
                <w:color w:val="auto"/>
                <w:sz w:val="21"/>
                <w:szCs w:val="21"/>
                <w:highlight w:val="none"/>
                <w:lang w:val="en-US" w:eastAsia="zh-CN"/>
              </w:rPr>
              <w:t>经化粪池</w:t>
            </w:r>
            <w:r>
              <w:rPr>
                <w:rFonts w:hint="default" w:ascii="Times New Roman" w:hAnsi="Times New Roman" w:cs="Times New Roman"/>
                <w:color w:val="auto"/>
                <w:sz w:val="21"/>
                <w:szCs w:val="21"/>
                <w:highlight w:val="none"/>
              </w:rPr>
              <w:t>处理后经市政管网排入</w:t>
            </w:r>
            <w:r>
              <w:rPr>
                <w:rFonts w:hint="eastAsia" w:cs="Times New Roman"/>
                <w:color w:val="auto"/>
                <w:sz w:val="21"/>
                <w:szCs w:val="21"/>
                <w:highlight w:val="none"/>
                <w:lang w:eastAsia="zh-CN"/>
              </w:rPr>
              <w:t>大港石化产业园区污水处理厂</w:t>
            </w:r>
            <w:r>
              <w:rPr>
                <w:rFonts w:hint="default" w:ascii="Times New Roman" w:hAnsi="Times New Roman" w:cs="Times New Roman"/>
                <w:color w:val="auto"/>
                <w:sz w:val="21"/>
                <w:szCs w:val="21"/>
                <w:highlight w:val="none"/>
              </w:rPr>
              <w:t>。</w:t>
            </w:r>
          </w:p>
        </w:tc>
        <w:tc>
          <w:tcPr>
            <w:tcW w:w="2159" w:type="dxa"/>
            <w:vAlign w:val="center"/>
          </w:tcPr>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《污水综合排放标准》（DB12/356-2018）三级标准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1867" w:type="dxa"/>
            <w:gridSpan w:val="2"/>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东、南</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西、北</w:t>
            </w:r>
            <w:r>
              <w:rPr>
                <w:rFonts w:hint="default" w:ascii="Times New Roman" w:hAnsi="Times New Roman" w:cs="Times New Roman"/>
                <w:color w:val="auto"/>
                <w:sz w:val="21"/>
                <w:szCs w:val="21"/>
                <w:highlight w:val="none"/>
              </w:rPr>
              <w:t>侧厂界外1m</w:t>
            </w:r>
          </w:p>
        </w:tc>
        <w:tc>
          <w:tcPr>
            <w:tcW w:w="1399" w:type="dxa"/>
            <w:vAlign w:val="center"/>
          </w:tcPr>
          <w:p>
            <w:pPr>
              <w:pStyle w:val="60"/>
              <w:spacing w:beforeLines="0" w:afterLines="0" w:line="240" w:lineRule="auto"/>
              <w:ind w:firstLine="0"/>
              <w:rPr>
                <w:rFonts w:hint="default" w:ascii="Times New Roman" w:hAnsi="Times New Roman" w:cs="Times New Roman"/>
                <w:color w:val="auto"/>
                <w:kern w:val="2"/>
                <w:szCs w:val="21"/>
                <w:highlight w:val="none"/>
              </w:rPr>
            </w:pPr>
            <w:r>
              <w:rPr>
                <w:rFonts w:hint="default" w:ascii="Times New Roman" w:hAnsi="Times New Roman" w:cs="Times New Roman"/>
                <w:color w:val="auto"/>
                <w:szCs w:val="21"/>
                <w:highlight w:val="none"/>
              </w:rPr>
              <w:t>Leq（A）</w:t>
            </w:r>
          </w:p>
        </w:tc>
        <w:tc>
          <w:tcPr>
            <w:tcW w:w="2404" w:type="dxa"/>
            <w:vAlign w:val="center"/>
          </w:tcPr>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基础减震，厂房隔声、管道柔性连接，环保设备风机安装隔声罩等。</w:t>
            </w:r>
          </w:p>
        </w:tc>
        <w:tc>
          <w:tcPr>
            <w:tcW w:w="2159" w:type="dxa"/>
            <w:vAlign w:val="center"/>
          </w:tcPr>
          <w:p>
            <w:pPr>
              <w:adjustRightInd w:val="0"/>
              <w:snapToGrid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《工业企业厂界环境噪声排放标准》(</w:t>
            </w:r>
            <w:r>
              <w:rPr>
                <w:rFonts w:hint="eastAsia" w:cs="Times New Roman"/>
                <w:color w:val="auto"/>
                <w:sz w:val="21"/>
                <w:szCs w:val="21"/>
                <w:highlight w:val="none"/>
                <w:lang w:eastAsia="zh-CN"/>
              </w:rPr>
              <w:t>GB12348-2008</w:t>
            </w:r>
            <w:r>
              <w:rPr>
                <w:rFonts w:hint="default" w:ascii="Times New Roman" w:hAnsi="Times New Roman" w:cs="Times New Roman"/>
                <w:color w:val="auto"/>
                <w:sz w:val="21"/>
                <w:szCs w:val="21"/>
                <w:highlight w:val="none"/>
              </w:rPr>
              <w:t>) 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Merge w:val="restart"/>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电磁辐射</w:t>
            </w:r>
          </w:p>
        </w:tc>
        <w:tc>
          <w:tcPr>
            <w:tcW w:w="1867" w:type="dxa"/>
            <w:gridSpan w:val="2"/>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399"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404"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159"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Merge w:val="continue"/>
            <w:vAlign w:val="center"/>
          </w:tcPr>
          <w:p>
            <w:pPr>
              <w:adjustRightInd w:val="0"/>
              <w:snapToGrid w:val="0"/>
              <w:jc w:val="center"/>
              <w:rPr>
                <w:rFonts w:hint="default" w:ascii="Times New Roman" w:hAnsi="Times New Roman" w:cs="Times New Roman"/>
                <w:color w:val="auto"/>
                <w:sz w:val="21"/>
                <w:szCs w:val="21"/>
                <w:highlight w:val="none"/>
              </w:rPr>
            </w:pPr>
          </w:p>
        </w:tc>
        <w:tc>
          <w:tcPr>
            <w:tcW w:w="1867" w:type="dxa"/>
            <w:gridSpan w:val="2"/>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399"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404"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159"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Merge w:val="continue"/>
            <w:vAlign w:val="center"/>
          </w:tcPr>
          <w:p>
            <w:pPr>
              <w:adjustRightInd w:val="0"/>
              <w:snapToGrid w:val="0"/>
              <w:jc w:val="center"/>
              <w:rPr>
                <w:rFonts w:hint="default" w:ascii="Times New Roman" w:hAnsi="Times New Roman" w:cs="Times New Roman"/>
                <w:color w:val="auto"/>
                <w:sz w:val="21"/>
                <w:szCs w:val="21"/>
                <w:highlight w:val="none"/>
              </w:rPr>
            </w:pPr>
          </w:p>
        </w:tc>
        <w:tc>
          <w:tcPr>
            <w:tcW w:w="1867" w:type="dxa"/>
            <w:gridSpan w:val="2"/>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1399"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404"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2159"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7829" w:type="dxa"/>
            <w:gridSpan w:val="5"/>
            <w:vAlign w:val="center"/>
          </w:tcPr>
          <w:p>
            <w:pPr>
              <w:spacing w:line="360" w:lineRule="auto"/>
              <w:ind w:firstLine="420" w:firstLineChars="200"/>
              <w:contextualSpacing/>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一般固体废弃物执行《一般工业固体废物贮存和填埋污染控制标准》（GB18599-2020）、《中华人民共和国固体废物污染环境防治法》</w:t>
            </w:r>
            <w:r>
              <w:rPr>
                <w:rFonts w:hint="default" w:ascii="Times New Roman" w:hAnsi="Times New Roman" w:cs="Times New Roman"/>
                <w:color w:val="auto"/>
                <w:sz w:val="21"/>
                <w:szCs w:val="21"/>
                <w:highlight w:val="none"/>
                <w:lang w:val="en-GB"/>
              </w:rPr>
              <w:t>；</w:t>
            </w:r>
            <w:r>
              <w:rPr>
                <w:rFonts w:hint="default" w:ascii="Times New Roman" w:hAnsi="Times New Roman" w:cs="Times New Roman"/>
                <w:color w:val="auto"/>
                <w:sz w:val="21"/>
                <w:szCs w:val="21"/>
                <w:highlight w:val="none"/>
              </w:rPr>
              <w:t>危险废物执行《危险废物贮存污染控制标准》（GB18597-2023），《危险废物收集、贮存、运输技术规范》（HJ2025-2023）。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土壤及地下水</w:t>
            </w:r>
          </w:p>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污染防治措施</w:t>
            </w:r>
          </w:p>
        </w:tc>
        <w:tc>
          <w:tcPr>
            <w:tcW w:w="7829" w:type="dxa"/>
            <w:gridSpan w:val="5"/>
            <w:vAlign w:val="center"/>
          </w:tcPr>
          <w:p>
            <w:pPr>
              <w:wordWrap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机油、切削液、漆料等均为密闭桶装，包装桶下方设置防渗漏托盘，且地面刷防渗漆，废油、废切削液等作为危险废物转移至危废间内，密闭桶装，下设铁托盘，且地面刷防渗漆，不存在土壤、地下水环境污染途径。本项目喷漆间水帘柜位于地上，水帘柜下方和危废间均做防渗涂层，水帘柜材质为不锈钢，水帘柜安装不锈钢防渗托盘，水帘柜不与地面直接接触，如发生泄漏能够及时被发现，不会下渗或流出车间，无污染途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生态保护措施</w:t>
            </w:r>
          </w:p>
        </w:tc>
        <w:tc>
          <w:tcPr>
            <w:tcW w:w="7829" w:type="dxa"/>
            <w:gridSpan w:val="5"/>
            <w:vAlign w:val="center"/>
          </w:tcPr>
          <w:p>
            <w:pPr>
              <w:adjustRightInd w:val="0"/>
              <w:snapToGrid w:val="0"/>
              <w:spacing w:line="36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Align w:val="center"/>
          </w:tcPr>
          <w:p>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环境风险防范措施</w:t>
            </w:r>
          </w:p>
        </w:tc>
        <w:tc>
          <w:tcPr>
            <w:tcW w:w="7829" w:type="dxa"/>
            <w:gridSpan w:val="5"/>
            <w:vAlign w:val="center"/>
          </w:tcPr>
          <w:p>
            <w:pPr>
              <w:autoSpaceDE w:val="0"/>
              <w:autoSpaceDN w:val="0"/>
              <w:adjustRightInd w:val="0"/>
              <w:spacing w:line="360" w:lineRule="auto"/>
              <w:ind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针对可能发生的风险类型，项目采取设置托盘、吸附材料、消防沙袋等风险防范措施，确保及时发现、及时响应、及时处理，减轻事故造成的危害。企业在采取有针对性的环境风险防范措施，并在风险事故发生后，及时采取相应应急措施以及应急预案的基础上，环境风险可防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1" w:type="dxa"/>
            <w:vAlign w:val="center"/>
          </w:tcPr>
          <w:p>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其他环境</w:t>
            </w:r>
          </w:p>
          <w:p>
            <w:pPr>
              <w:adjustRightInd w:val="0"/>
              <w:snapToGrid w:val="0"/>
              <w:jc w:val="center"/>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管理要求</w:t>
            </w:r>
          </w:p>
        </w:tc>
        <w:tc>
          <w:tcPr>
            <w:tcW w:w="7829" w:type="dxa"/>
            <w:gridSpan w:val="5"/>
            <w:vAlign w:val="center"/>
          </w:tcPr>
          <w:p>
            <w:pPr>
              <w:numPr>
                <w:ilvl w:val="0"/>
                <w:numId w:val="10"/>
              </w:numPr>
              <w:adjustRightInd w:val="0"/>
              <w:snapToGrid w:val="0"/>
              <w:spacing w:line="360" w:lineRule="auto"/>
              <w:ind w:firstLine="420" w:firstLineChars="200"/>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环境管理</w:t>
            </w:r>
          </w:p>
          <w:p>
            <w:pPr>
              <w:adjustRightInd w:val="0"/>
              <w:snapToGrid w:val="0"/>
              <w:spacing w:line="360" w:lineRule="auto"/>
              <w:ind w:firstLine="420" w:firstLineChars="200"/>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（1）环境管理</w:t>
            </w:r>
          </w:p>
          <w:p>
            <w:pPr>
              <w:autoSpaceDE w:val="0"/>
              <w:autoSpaceDN w:val="0"/>
              <w:adjustRightInd w:val="0"/>
              <w:spacing w:line="360" w:lineRule="auto"/>
              <w:ind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①本项目需按照天津市生态环境局环保监理[2007]57号《关于发布&lt;天津市污染源排放口规范化技术要求&gt;的通知》和津环保监测[2002]71号《关于加强我市排放口规范化整治工作的通知》要求进行排放口规范化建设工作。</w:t>
            </w:r>
          </w:p>
          <w:p>
            <w:pPr>
              <w:pStyle w:val="28"/>
              <w:spacing w:after="0" w:line="360" w:lineRule="auto"/>
              <w:ind w:left="0" w:leftChars="0" w:firstLine="444" w:firstLineChars="20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sz w:val="21"/>
                <w:szCs w:val="21"/>
                <w:highlight w:val="none"/>
              </w:rPr>
              <w:t>②</w:t>
            </w:r>
            <w:r>
              <w:rPr>
                <w:rFonts w:hint="default" w:ascii="Times New Roman" w:hAnsi="Times New Roman" w:cs="Times New Roman"/>
                <w:color w:val="auto"/>
                <w:kern w:val="2"/>
                <w:sz w:val="21"/>
                <w:szCs w:val="21"/>
                <w:highlight w:val="none"/>
              </w:rPr>
              <w:t>根据国家有关法律法规，环境保护设施必须与主体工程同时设计、同时施工、同时运行。根据《建设项目环境保护管理条例》、《建设项目竣工环境保护验收暂行办法》（国环规环评〔2017〕4号）和《建设项目竣工环境保护验收技术指南污染影响类》要求，建设项目竣工后，建设单位应当按照规定的标准和程序，对配套建设的环境保护设施进行验收，编制验收报告，同时向社会进行公示。</w:t>
            </w:r>
          </w:p>
          <w:p>
            <w:pPr>
              <w:pStyle w:val="28"/>
              <w:spacing w:after="0" w:line="360" w:lineRule="auto"/>
              <w:ind w:left="0" w:leftChars="0" w:firstLine="444"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根据《建设项目竣工环境保护验收暂行办法》（国环规环评〔2017〕4号），除需要取得排污许可证的水和大气污染防治设施外，其他环境保护设施的验收期限一般不超过3个月；需要对环境保护设施进行调试或者整改的，验收期限可以适当延期，但最长不超过12个月。</w:t>
            </w:r>
          </w:p>
          <w:p>
            <w:pPr>
              <w:autoSpaceDE w:val="0"/>
              <w:autoSpaceDN w:val="0"/>
              <w:adjustRightInd w:val="0"/>
              <w:spacing w:line="360" w:lineRule="auto"/>
              <w:ind w:firstLine="420" w:firstLineChars="20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③根据环境保护部《排污许可管理办法（试行）》（部令第 48 号）要求，建设行业纳入固定污染源排污许可分类管理名录的企业事业单位和其他生产经营者（以下简称排污单位）应当按照规定的时限申请并取得排污许可证。根据《固定污染源排污许可分类管理名录（2019 年版）》（部令 第 11 号），本项目属于《固定污染源排污许可分类管理名录（2019 年版）》（生态环境部部令第 11 号）中“二十八、金属制品业 33-80 结构性金属制品制造 331”和“二十九、通用设备制造业 34-其他通用设备制造业 349”，均需要通过通用工序进行排污许可类别判定。本项目涉及喷砂、喷漆表面处理，属于“五十一、通用工序-111 表面处理-其他”，排污许可实施登记管理。根据《关于印发&lt;固定污染源排污登记工作指南（试行）&gt;的通知》（环</w:t>
            </w:r>
          </w:p>
          <w:p>
            <w:pPr>
              <w:autoSpaceDE w:val="0"/>
              <w:autoSpaceDN w:val="0"/>
              <w:adjustRightInd w:val="0"/>
              <w:spacing w:line="360" w:lineRule="auto"/>
              <w:jc w:val="left"/>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办环评函[2020]9 号）的有关规定，建设单位应当在启动生产设施或者发生实际排污之前填报排污登记表。排污单位对填报信息的真实性、准确性和完整性负责</w:t>
            </w:r>
            <w:r>
              <w:rPr>
                <w:rFonts w:hint="eastAsia" w:cs="Times New Roman"/>
                <w:color w:val="auto"/>
                <w:sz w:val="21"/>
                <w:szCs w:val="21"/>
                <w:highlight w:val="none"/>
                <w:lang w:eastAsia="zh-CN"/>
              </w:rPr>
              <w:t>。</w:t>
            </w:r>
          </w:p>
          <w:p>
            <w:pPr>
              <w:pStyle w:val="28"/>
              <w:spacing w:after="0" w:line="360" w:lineRule="auto"/>
              <w:ind w:left="0" w:leftChars="0" w:firstLine="444" w:firstLineChars="20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（2）环境管理制度</w:t>
            </w:r>
          </w:p>
          <w:p>
            <w:pPr>
              <w:pStyle w:val="28"/>
              <w:spacing w:after="0" w:line="360" w:lineRule="auto"/>
              <w:ind w:left="0" w:leftChars="0" w:firstLine="444" w:firstLineChars="20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环境管理应根据建设单位的特点与主要环境因素，依据相关法律法规，执行具体的方针、目标和实现方案；结合建设单位组织结构的特点，由主要领导负责，规定环保部门和其他部门以及员工承担相应的管理职责、权限和相互关系，并予以制度化，使之纳入建设单位的日常管理中。</w:t>
            </w:r>
          </w:p>
          <w:p>
            <w:pPr>
              <w:pStyle w:val="28"/>
              <w:spacing w:after="0" w:line="360" w:lineRule="auto"/>
              <w:ind w:left="0" w:leftChars="0" w:firstLine="444" w:firstLineChars="20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为保证环境保护设施的正常运行，建设单位已建立健全环境保护管理规章制度，完善了各项操作规程，其中主要建立了如下制度：</w:t>
            </w:r>
          </w:p>
          <w:p>
            <w:pPr>
              <w:pStyle w:val="28"/>
              <w:spacing w:after="0" w:line="360" w:lineRule="auto"/>
              <w:ind w:left="0" w:leftChars="0" w:firstLine="444" w:firstLineChars="20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岗位责任制度：按照“谁主管、谁负责”的原则，落实各项岗位责任制度，明确管理内容和目标，落实管理责任并签订环保管理责任书。</w:t>
            </w:r>
          </w:p>
          <w:p>
            <w:pPr>
              <w:pStyle w:val="28"/>
              <w:spacing w:after="0" w:line="360" w:lineRule="auto"/>
              <w:ind w:left="0" w:leftChars="0" w:firstLine="444" w:firstLineChars="20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检查制度：按照日查、周查、月查、季度性检查等建立完善的环境保护设施定期检查制度，保证环境保护设施的正常运行。</w:t>
            </w:r>
          </w:p>
          <w:p>
            <w:pPr>
              <w:pStyle w:val="28"/>
              <w:spacing w:after="0" w:line="360" w:lineRule="auto"/>
              <w:ind w:left="0" w:leftChars="0" w:firstLine="444"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rPr>
              <w:t>培训教育制度：对环境保护重点岗位的操作人员，实行岗前、岗中等培训制度，使操作人员熟悉岗位操作规程及环境保护设施的基本工作原理，了解本岗位的环境重要性，掌握事故预防和处理措施</w:t>
            </w:r>
            <w:r>
              <w:rPr>
                <w:rFonts w:hint="default" w:ascii="Times New Roman" w:hAnsi="Times New Roman" w:cs="Times New Roman"/>
                <w:color w:val="auto"/>
                <w:szCs w:val="24"/>
                <w:highlight w:val="none"/>
              </w:rPr>
              <w:t>。</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2．排放口规范化</w:t>
            </w:r>
          </w:p>
          <w:p>
            <w:pPr>
              <w:adjustRightInd w:val="0"/>
              <w:spacing w:line="360" w:lineRule="auto"/>
              <w:ind w:firstLine="420" w:firstLineChars="200"/>
              <w:rPr>
                <w:rFonts w:hint="default" w:ascii="Times New Roman" w:hAnsi="Times New Roman" w:cs="Times New Roman"/>
                <w:color w:val="auto"/>
                <w:sz w:val="21"/>
                <w:szCs w:val="21"/>
                <w:highlight w:val="none"/>
                <w:lang w:val="en-GB"/>
              </w:rPr>
            </w:pPr>
            <w:r>
              <w:rPr>
                <w:rFonts w:hint="default" w:ascii="Times New Roman" w:hAnsi="Times New Roman" w:cs="Times New Roman"/>
                <w:color w:val="auto"/>
                <w:sz w:val="21"/>
                <w:szCs w:val="21"/>
                <w:highlight w:val="none"/>
                <w:lang w:val="en-GB"/>
              </w:rPr>
              <w:t>根据国家环保总局环发</w:t>
            </w:r>
            <w:r>
              <w:rPr>
                <w:rFonts w:hint="eastAsia" w:cs="Times New Roman"/>
                <w:color w:val="auto"/>
                <w:sz w:val="21"/>
                <w:szCs w:val="21"/>
                <w:highlight w:val="none"/>
                <w:lang w:val="en-GB" w:eastAsia="zh-CN"/>
              </w:rPr>
              <w:t>〔</w:t>
            </w:r>
            <w:r>
              <w:rPr>
                <w:rFonts w:hint="default" w:ascii="Times New Roman" w:hAnsi="Times New Roman" w:cs="Times New Roman"/>
                <w:color w:val="auto"/>
                <w:sz w:val="21"/>
                <w:szCs w:val="21"/>
                <w:highlight w:val="none"/>
                <w:lang w:val="en-GB"/>
              </w:rPr>
              <w:t>1999</w:t>
            </w:r>
            <w:r>
              <w:rPr>
                <w:rFonts w:hint="eastAsia" w:cs="Times New Roman"/>
                <w:color w:val="auto"/>
                <w:sz w:val="21"/>
                <w:szCs w:val="21"/>
                <w:highlight w:val="none"/>
                <w:lang w:val="en-GB" w:eastAsia="zh-CN"/>
              </w:rPr>
              <w:t>〕</w:t>
            </w:r>
            <w:r>
              <w:rPr>
                <w:rFonts w:hint="default" w:ascii="Times New Roman" w:hAnsi="Times New Roman" w:cs="Times New Roman"/>
                <w:color w:val="auto"/>
                <w:sz w:val="21"/>
                <w:szCs w:val="21"/>
                <w:highlight w:val="none"/>
                <w:lang w:val="en-GB"/>
              </w:rPr>
              <w:t>24号文件及天津市环境保护局津环保监理[2002]71号《关于加强我市排放口规范化整治工作的通知》、津环保监测[2007]57号“关于发布《天津市污 染源排放口规范化技术要求》的通知”要求：排污单位必须在建设污染治理设施的同时建设规范化排放口，并作为落实环境保护“三同时”制度的必要组成部分和项目验收内容之一。</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（1）废气</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1）排气筒P1、P2</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P3、P4、P5、P6</w:t>
            </w:r>
            <w:r>
              <w:rPr>
                <w:rFonts w:hint="default" w:ascii="Times New Roman" w:hAnsi="Times New Roman" w:cs="Times New Roman"/>
                <w:color w:val="auto"/>
                <w:sz w:val="21"/>
                <w:szCs w:val="21"/>
                <w:highlight w:val="none"/>
              </w:rPr>
              <w:t>应设置便于采样、检测的采样口和采样检测平台；</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2）采样孔、点数目和位置应按《固定污染源排气中颗粒物测定与气态污染物采样方法》（GB/T16157-1996）的规定设置；</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3）排气筒应便于采集样品、监测流量及公众参与监督管理；</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4）选用的设备必须有计量部门的质量认证书和环保部门的认定证书；</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5）排污口规范化工程的施工需由有资质的单位负责施工建设；</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6）经规范化的排污口附近醒目处，必须设置相应的环境保护标志牌，环境保护标志牌应按照《环境保护图形标志》（GB15562.1-1995）试行定点制作。由</w:t>
            </w:r>
            <w:r>
              <w:rPr>
                <w:rFonts w:hint="eastAsia" w:cs="Times New Roman"/>
                <w:color w:val="auto"/>
                <w:sz w:val="21"/>
                <w:szCs w:val="21"/>
                <w:highlight w:val="none"/>
                <w:lang w:val="en-US" w:eastAsia="zh-CN"/>
              </w:rPr>
              <w:t>滨海新</w:t>
            </w:r>
            <w:r>
              <w:rPr>
                <w:rFonts w:hint="default" w:ascii="Times New Roman" w:hAnsi="Times New Roman" w:cs="Times New Roman"/>
                <w:color w:val="auto"/>
                <w:sz w:val="21"/>
                <w:szCs w:val="21"/>
                <w:highlight w:val="none"/>
              </w:rPr>
              <w:t>区生态环境局组织填写并签发《规范化排放口登记证》，完成排放口的立标工作。</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（2）废水</w:t>
            </w:r>
          </w:p>
          <w:p>
            <w:pPr>
              <w:adjustRightInd w:val="0"/>
              <w:spacing w:line="360" w:lineRule="auto"/>
              <w:ind w:firstLine="420" w:firstLineChars="200"/>
              <w:rPr>
                <w:rFonts w:hint="default" w:ascii="Times New Roman" w:hAnsi="Times New Roman" w:cs="Times New Roman"/>
                <w:color w:val="auto"/>
                <w:sz w:val="21"/>
                <w:szCs w:val="21"/>
                <w:highlight w:val="none"/>
                <w:lang w:val="en-GB"/>
              </w:rPr>
            </w:pPr>
            <w:r>
              <w:rPr>
                <w:rFonts w:hint="default" w:ascii="Times New Roman" w:hAnsi="Times New Roman" w:cs="Times New Roman"/>
                <w:color w:val="auto"/>
                <w:sz w:val="21"/>
                <w:szCs w:val="21"/>
                <w:highlight w:val="none"/>
                <w:lang w:val="en-GB"/>
              </w:rPr>
              <w:t>本项目运营期废水主要为</w:t>
            </w:r>
            <w:r>
              <w:rPr>
                <w:rFonts w:hint="default" w:ascii="Times New Roman" w:hAnsi="Times New Roman" w:cs="Times New Roman"/>
                <w:color w:val="auto"/>
                <w:sz w:val="21"/>
                <w:szCs w:val="21"/>
                <w:highlight w:val="none"/>
              </w:rPr>
              <w:t>生活污水</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经厂内化粪池沉淀后排放到园区管网</w:t>
            </w:r>
            <w:r>
              <w:rPr>
                <w:rFonts w:hint="default" w:ascii="Times New Roman" w:hAnsi="Times New Roman" w:cs="Times New Roman"/>
                <w:color w:val="auto"/>
                <w:sz w:val="21"/>
                <w:szCs w:val="21"/>
                <w:highlight w:val="none"/>
                <w:lang w:val="en-GB"/>
              </w:rPr>
              <w:t>，污水总排口规范化建设与日常监管由</w:t>
            </w:r>
            <w:r>
              <w:rPr>
                <w:rFonts w:hint="eastAsia" w:cs="Times New Roman"/>
                <w:color w:val="auto"/>
                <w:sz w:val="21"/>
                <w:szCs w:val="21"/>
                <w:highlight w:val="none"/>
                <w:lang w:val="en-US" w:eastAsia="zh-CN"/>
              </w:rPr>
              <w:t>建设单位</w:t>
            </w:r>
            <w:r>
              <w:rPr>
                <w:rFonts w:hint="default" w:ascii="Times New Roman" w:hAnsi="Times New Roman" w:cs="Times New Roman"/>
                <w:color w:val="auto"/>
                <w:sz w:val="21"/>
                <w:szCs w:val="21"/>
                <w:highlight w:val="none"/>
                <w:lang w:val="en-GB"/>
              </w:rPr>
              <w:t>负责</w:t>
            </w:r>
            <w:r>
              <w:rPr>
                <w:rFonts w:hint="default" w:ascii="Times New Roman" w:hAnsi="Times New Roman" w:cs="Times New Roman"/>
                <w:color w:val="auto"/>
                <w:sz w:val="21"/>
                <w:szCs w:val="21"/>
                <w:highlight w:val="none"/>
              </w:rPr>
              <w:t>，应按照《污染源监测技术规范》设置规范的采样点，并在厂区排污口附近醒目处设置环境保护图形标志</w:t>
            </w:r>
            <w:r>
              <w:rPr>
                <w:rFonts w:hint="default" w:ascii="Times New Roman" w:hAnsi="Times New Roman" w:cs="Times New Roman"/>
                <w:color w:val="auto"/>
                <w:sz w:val="21"/>
                <w:szCs w:val="21"/>
                <w:highlight w:val="none"/>
                <w:lang w:val="en-GB"/>
              </w:rPr>
              <w:t>。</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（3）固废暂存</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固体废物分类收集设专用容器存放，危险废物必须设置专用堆放场所，有防扬散、防流失、防渗淜等措施，分别设置环境保护图形标志和警示标志。本项目设置的图形标志牌属环保设施，排污单位必须负责日常的维护保养，任何单位和个人不得授自拆除，如需变更的需报环境监理部门同意并办理变更手续。</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（4）设置标志牌</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排放一般污染物排污口（源），设置提示式标志牌。标志牌设置位置在排污口（采样点）附近且醒目处。排污口附近1m范围内有建筑物的，设平面式标志牌，无建筑物的设立式标志牌。</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规范化排污口的有关设置（如图形标志牌、计量装置、监控装置等）属环保设施，排污单位必须负责日常的维护保养，任何单位和个人不得擅自拆除，如需变更的需报环境监理部门同意并办理变更手续。</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3、环保治理投资</w:t>
            </w:r>
          </w:p>
          <w:p>
            <w:pPr>
              <w:adjustRightIn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本项目总投资</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00万元，其中环保投资约为</w:t>
            </w:r>
            <w:r>
              <w:rPr>
                <w:rFonts w:hint="eastAsia" w:cs="Times New Roman"/>
                <w:color w:val="auto"/>
                <w:sz w:val="21"/>
                <w:szCs w:val="21"/>
                <w:highlight w:val="none"/>
                <w:lang w:val="en-US" w:eastAsia="zh-CN"/>
              </w:rPr>
              <w:t>90</w:t>
            </w:r>
            <w:r>
              <w:rPr>
                <w:rFonts w:hint="default" w:ascii="Times New Roman" w:hAnsi="Times New Roman" w:cs="Times New Roman"/>
                <w:color w:val="auto"/>
                <w:sz w:val="21"/>
                <w:szCs w:val="21"/>
                <w:highlight w:val="none"/>
              </w:rPr>
              <w:t>万元。环保投资占总投资的10%，主要用于运营期废气处理措施、隔声降噪措施、固体废物暂存间、环境风险防范措施以及排污口规范化等，具体明细见下表。</w:t>
            </w:r>
          </w:p>
          <w:p>
            <w:pPr>
              <w:pStyle w:val="67"/>
              <w:adjustRightInd/>
              <w:spacing w:line="240" w:lineRule="auto"/>
              <w:ind w:firstLine="42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表5-1  项目环保投资明细表</w:t>
            </w:r>
          </w:p>
          <w:tbl>
            <w:tblPr>
              <w:tblStyle w:val="29"/>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4"/>
              <w:gridCol w:w="1934"/>
              <w:gridCol w:w="3481"/>
              <w:gridCol w:w="145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6"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编号</w:t>
                  </w:r>
                </w:p>
              </w:tc>
              <w:tc>
                <w:tcPr>
                  <w:tcW w:w="1274"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项目</w:t>
                  </w:r>
                </w:p>
              </w:tc>
              <w:tc>
                <w:tcPr>
                  <w:tcW w:w="2293"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备注</w:t>
                  </w:r>
                </w:p>
              </w:tc>
              <w:tc>
                <w:tcPr>
                  <w:tcW w:w="955"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投资额（万元）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6"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w:t>
                  </w:r>
                </w:p>
              </w:tc>
              <w:tc>
                <w:tcPr>
                  <w:tcW w:w="1274"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废气处理措施</w:t>
                  </w:r>
                </w:p>
              </w:tc>
              <w:tc>
                <w:tcPr>
                  <w:tcW w:w="2293" w:type="pct"/>
                  <w:vAlign w:val="center"/>
                </w:tcPr>
                <w:p>
                  <w:pPr>
                    <w:pStyle w:val="98"/>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5套</w:t>
                  </w:r>
                  <w:r>
                    <w:rPr>
                      <w:rFonts w:hint="eastAsia" w:cs="Times New Roman"/>
                      <w:color w:val="auto"/>
                      <w:sz w:val="21"/>
                      <w:highlight w:val="none"/>
                      <w:lang w:eastAsia="zh-CN"/>
                    </w:rPr>
                    <w:t>布袋除尘器</w:t>
                  </w:r>
                  <w:r>
                    <w:rPr>
                      <w:rFonts w:hint="default" w:ascii="Times New Roman" w:hAnsi="Times New Roman" w:cs="Times New Roman"/>
                      <w:color w:val="auto"/>
                      <w:sz w:val="21"/>
                      <w:highlight w:val="none"/>
                    </w:rPr>
                    <w:t>+排气筒</w:t>
                  </w:r>
                  <w:r>
                    <w:rPr>
                      <w:rFonts w:hint="eastAsia" w:cs="Times New Roman"/>
                      <w:color w:val="auto"/>
                      <w:sz w:val="21"/>
                      <w:highlight w:val="none"/>
                      <w:lang w:val="en-US" w:eastAsia="zh-CN"/>
                    </w:rPr>
                    <w:t>+附属设施</w:t>
                  </w:r>
                  <w:r>
                    <w:rPr>
                      <w:rFonts w:hint="default" w:ascii="Times New Roman" w:hAnsi="Times New Roman" w:cs="Times New Roman"/>
                      <w:color w:val="auto"/>
                      <w:sz w:val="21"/>
                      <w:highlight w:val="none"/>
                    </w:rPr>
                    <w:t>、</w:t>
                  </w:r>
                  <w:r>
                    <w:rPr>
                      <w:rFonts w:hint="eastAsia" w:cs="Times New Roman"/>
                      <w:color w:val="auto"/>
                      <w:sz w:val="21"/>
                      <w:highlight w:val="none"/>
                      <w:lang w:val="en-US" w:eastAsia="zh-CN"/>
                    </w:rPr>
                    <w:t>水帘</w:t>
                  </w:r>
                  <w:r>
                    <w:rPr>
                      <w:rFonts w:hint="default" w:ascii="Times New Roman" w:hAnsi="Times New Roman" w:cs="Times New Roman"/>
                      <w:color w:val="auto"/>
                      <w:sz w:val="21"/>
                      <w:highlight w:val="none"/>
                    </w:rPr>
                    <w:t>+</w:t>
                  </w:r>
                  <w:r>
                    <w:rPr>
                      <w:rFonts w:hint="eastAsia" w:cs="Times New Roman"/>
                      <w:color w:val="auto"/>
                      <w:sz w:val="21"/>
                      <w:highlight w:val="none"/>
                      <w:lang w:val="en-US" w:eastAsia="zh-CN"/>
                    </w:rPr>
                    <w:t>干式过滤棉+</w:t>
                  </w:r>
                  <w:r>
                    <w:rPr>
                      <w:rFonts w:hint="eastAsia" w:cs="Times New Roman"/>
                      <w:color w:val="auto"/>
                      <w:sz w:val="21"/>
                      <w:highlight w:val="none"/>
                      <w:lang w:eastAsia="zh-CN"/>
                    </w:rPr>
                    <w:t>活性炭吸附、脱附催化燃烧</w:t>
                  </w:r>
                  <w:r>
                    <w:rPr>
                      <w:rFonts w:hint="eastAsia" w:cs="Times New Roman"/>
                      <w:color w:val="auto"/>
                      <w:sz w:val="21"/>
                      <w:highlight w:val="none"/>
                      <w:lang w:val="en-US" w:eastAsia="zh-CN"/>
                    </w:rPr>
                    <w:t>装置</w:t>
                  </w:r>
                  <w:r>
                    <w:rPr>
                      <w:rFonts w:hint="default" w:ascii="Times New Roman" w:hAnsi="Times New Roman" w:cs="Times New Roman"/>
                      <w:color w:val="auto"/>
                      <w:sz w:val="21"/>
                      <w:highlight w:val="none"/>
                    </w:rPr>
                    <w:t>+排气筒</w:t>
                  </w:r>
                  <w:r>
                    <w:rPr>
                      <w:rFonts w:hint="eastAsia" w:cs="Times New Roman"/>
                      <w:color w:val="auto"/>
                      <w:sz w:val="21"/>
                      <w:highlight w:val="none"/>
                      <w:lang w:val="en-US" w:eastAsia="zh-CN"/>
                    </w:rPr>
                    <w:t>+附属设施</w:t>
                  </w:r>
                </w:p>
              </w:tc>
              <w:tc>
                <w:tcPr>
                  <w:tcW w:w="955" w:type="pct"/>
                  <w:vAlign w:val="center"/>
                </w:tcPr>
                <w:p>
                  <w:pPr>
                    <w:pStyle w:val="98"/>
                    <w:rPr>
                      <w:rFonts w:hint="default" w:ascii="Times New Roman" w:hAnsi="Times New Roman" w:eastAsia="宋体" w:cs="Times New Roman"/>
                      <w:color w:val="auto"/>
                      <w:sz w:val="21"/>
                      <w:highlight w:val="none"/>
                      <w:lang w:val="en-US" w:eastAsia="zh-CN"/>
                    </w:rPr>
                  </w:pPr>
                  <w:r>
                    <w:rPr>
                      <w:rFonts w:hint="eastAsia" w:cs="Times New Roman"/>
                      <w:color w:val="auto"/>
                      <w:sz w:val="21"/>
                      <w:highlight w:val="none"/>
                      <w:lang w:val="en-US" w:eastAsia="zh-CN"/>
                    </w:rPr>
                    <w:t>80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6"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w:t>
                  </w:r>
                </w:p>
              </w:tc>
              <w:tc>
                <w:tcPr>
                  <w:tcW w:w="1274"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噪声防治</w:t>
                  </w:r>
                </w:p>
              </w:tc>
              <w:tc>
                <w:tcPr>
                  <w:tcW w:w="2293"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生产设备减震</w:t>
                  </w:r>
                  <w:r>
                    <w:rPr>
                      <w:rFonts w:hint="eastAsia" w:cs="Times New Roman"/>
                      <w:color w:val="auto"/>
                      <w:sz w:val="21"/>
                      <w:highlight w:val="none"/>
                      <w:lang w:eastAsia="zh-CN"/>
                    </w:rPr>
                    <w:t>、</w:t>
                  </w:r>
                  <w:r>
                    <w:rPr>
                      <w:rFonts w:hint="default" w:ascii="Times New Roman" w:hAnsi="Times New Roman" w:cs="Times New Roman"/>
                      <w:color w:val="auto"/>
                      <w:sz w:val="21"/>
                      <w:highlight w:val="none"/>
                    </w:rPr>
                    <w:t>隔声措施</w:t>
                  </w:r>
                </w:p>
              </w:tc>
              <w:tc>
                <w:tcPr>
                  <w:tcW w:w="955"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6"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3</w:t>
                  </w:r>
                </w:p>
              </w:tc>
              <w:tc>
                <w:tcPr>
                  <w:tcW w:w="1274"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固体废物暂存设施</w:t>
                  </w:r>
                </w:p>
              </w:tc>
              <w:tc>
                <w:tcPr>
                  <w:tcW w:w="2293"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一般固体废物暂存间及危险废物暂存间</w:t>
                  </w:r>
                </w:p>
              </w:tc>
              <w:tc>
                <w:tcPr>
                  <w:tcW w:w="955"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6"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4</w:t>
                  </w:r>
                </w:p>
              </w:tc>
              <w:tc>
                <w:tcPr>
                  <w:tcW w:w="1274"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环境风险</w:t>
                  </w:r>
                </w:p>
              </w:tc>
              <w:tc>
                <w:tcPr>
                  <w:tcW w:w="2293"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风险防范措施</w:t>
                  </w:r>
                </w:p>
              </w:tc>
              <w:tc>
                <w:tcPr>
                  <w:tcW w:w="955"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76"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5</w:t>
                  </w:r>
                </w:p>
              </w:tc>
              <w:tc>
                <w:tcPr>
                  <w:tcW w:w="1274"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规范化排污口</w:t>
                  </w:r>
                </w:p>
              </w:tc>
              <w:tc>
                <w:tcPr>
                  <w:tcW w:w="2293"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废气排放口、采样平台、污水总排口、固体废物暂存间的规范化设置</w:t>
                  </w:r>
                </w:p>
              </w:tc>
              <w:tc>
                <w:tcPr>
                  <w:tcW w:w="955" w:type="pct"/>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044" w:type="pct"/>
                  <w:gridSpan w:val="3"/>
                  <w:vAlign w:val="center"/>
                </w:tcPr>
                <w:p>
                  <w:pPr>
                    <w:pStyle w:val="98"/>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合计</w:t>
                  </w:r>
                </w:p>
              </w:tc>
              <w:tc>
                <w:tcPr>
                  <w:tcW w:w="955" w:type="pct"/>
                  <w:vAlign w:val="center"/>
                </w:tcPr>
                <w:p>
                  <w:pPr>
                    <w:pStyle w:val="98"/>
                    <w:rPr>
                      <w:rFonts w:hint="default" w:ascii="Times New Roman" w:hAnsi="Times New Roman" w:cs="Times New Roman"/>
                      <w:color w:val="auto"/>
                      <w:sz w:val="21"/>
                      <w:highlight w:val="none"/>
                    </w:rPr>
                  </w:pPr>
                  <w:r>
                    <w:rPr>
                      <w:rFonts w:hint="eastAsia" w:cs="Times New Roman"/>
                      <w:color w:val="auto"/>
                      <w:sz w:val="21"/>
                      <w:highlight w:val="none"/>
                      <w:lang w:val="en-US" w:eastAsia="zh-CN"/>
                    </w:rPr>
                    <w:t>9</w:t>
                  </w:r>
                  <w:r>
                    <w:rPr>
                      <w:rFonts w:hint="default" w:ascii="Times New Roman" w:hAnsi="Times New Roman" w:cs="Times New Roman"/>
                      <w:color w:val="auto"/>
                      <w:sz w:val="21"/>
                      <w:highlight w:val="none"/>
                    </w:rPr>
                    <w:t>0</w:t>
                  </w:r>
                </w:p>
              </w:tc>
            </w:tr>
          </w:tbl>
          <w:p>
            <w:pPr>
              <w:pStyle w:val="10"/>
              <w:ind w:left="2400"/>
              <w:rPr>
                <w:rFonts w:hint="default" w:ascii="Times New Roman" w:hAnsi="Times New Roman" w:cs="Times New Roman"/>
                <w:b/>
                <w:color w:val="auto"/>
                <w:sz w:val="21"/>
                <w:szCs w:val="21"/>
                <w:highlight w:val="none"/>
              </w:rPr>
            </w:pPr>
          </w:p>
          <w:p>
            <w:pPr>
              <w:rPr>
                <w:rFonts w:hint="default" w:ascii="Times New Roman" w:hAnsi="Times New Roman" w:cs="Times New Roman"/>
                <w:b/>
                <w:color w:val="auto"/>
                <w:sz w:val="21"/>
                <w:szCs w:val="21"/>
                <w:highlight w:val="none"/>
              </w:rPr>
            </w:pPr>
          </w:p>
          <w:p>
            <w:pPr>
              <w:pStyle w:val="42"/>
              <w:ind w:firstLine="422"/>
              <w:rPr>
                <w:rFonts w:hint="default" w:ascii="Times New Roman" w:hAnsi="Times New Roman" w:cs="Times New Roman"/>
                <w:b/>
                <w:color w:val="auto"/>
                <w:sz w:val="21"/>
                <w:highlight w:val="none"/>
              </w:rPr>
            </w:pPr>
          </w:p>
          <w:p>
            <w:pPr>
              <w:pStyle w:val="42"/>
              <w:ind w:firstLine="422"/>
              <w:rPr>
                <w:rFonts w:hint="default" w:ascii="Times New Roman" w:hAnsi="Times New Roman" w:cs="Times New Roman"/>
                <w:b/>
                <w:color w:val="auto"/>
                <w:sz w:val="21"/>
                <w:highlight w:val="none"/>
              </w:rPr>
            </w:pPr>
          </w:p>
          <w:p>
            <w:pPr>
              <w:pStyle w:val="42"/>
              <w:ind w:firstLine="422"/>
              <w:rPr>
                <w:rFonts w:hint="default" w:ascii="Times New Roman" w:hAnsi="Times New Roman" w:cs="Times New Roman"/>
                <w:b/>
                <w:color w:val="auto"/>
                <w:sz w:val="21"/>
                <w:highlight w:val="none"/>
              </w:rPr>
            </w:pPr>
          </w:p>
          <w:p>
            <w:pPr>
              <w:pStyle w:val="42"/>
              <w:ind w:firstLine="422"/>
              <w:rPr>
                <w:rFonts w:hint="default" w:ascii="Times New Roman" w:hAnsi="Times New Roman" w:cs="Times New Roman"/>
                <w:b/>
                <w:color w:val="auto"/>
                <w:sz w:val="21"/>
                <w:highlight w:val="none"/>
              </w:rPr>
            </w:pPr>
          </w:p>
          <w:p>
            <w:pPr>
              <w:pStyle w:val="23"/>
              <w:spacing w:line="360" w:lineRule="auto"/>
              <w:ind w:left="0" w:leftChars="0" w:firstLine="0" w:firstLineChars="0"/>
              <w:rPr>
                <w:rFonts w:hint="default" w:ascii="Times New Roman" w:hAnsi="Times New Roman" w:cs="Times New Roman"/>
                <w:color w:val="auto"/>
                <w:sz w:val="21"/>
                <w:szCs w:val="21"/>
                <w:highlight w:val="none"/>
              </w:rPr>
            </w:pPr>
          </w:p>
        </w:tc>
      </w:tr>
    </w:tbl>
    <w:p>
      <w:pPr>
        <w:pStyle w:val="25"/>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snapToGrid w:val="0"/>
          <w:color w:val="auto"/>
          <w:highlight w:val="none"/>
        </w:rPr>
        <w:br w:type="page"/>
      </w:r>
      <w:r>
        <w:rPr>
          <w:rFonts w:hint="default" w:ascii="Times New Roman" w:hAnsi="Times New Roman" w:eastAsia="黑体" w:cs="Times New Roman"/>
          <w:snapToGrid w:val="0"/>
          <w:color w:val="auto"/>
          <w:sz w:val="30"/>
          <w:szCs w:val="30"/>
          <w:highlight w:val="none"/>
        </w:rPr>
        <w:t>六、结论</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eastAsia" w:cs="Times New Roman"/>
                <w:color w:val="auto"/>
                <w:highlight w:val="none"/>
                <w:lang w:eastAsia="zh-CN"/>
              </w:rPr>
              <w:t>天津联发建筑安装工程有限公司新建项目</w:t>
            </w:r>
            <w:r>
              <w:rPr>
                <w:rFonts w:hint="default" w:ascii="Times New Roman" w:hAnsi="Times New Roman" w:cs="Times New Roman"/>
                <w:color w:val="auto"/>
                <w:highlight w:val="none"/>
              </w:rPr>
              <w:t>”符合国家及地方有关政策要求，厂址选择合理。项目要在建设过程中认真执行“三同时”制度，严格落实并合理使用环保投资，严格按照本评价中的要求使用环保投资，严格按照本评价中的要求使各项污染防治措施落到实处，工程运营后，加强环境管理，确保各项污染治理设施长期稳定运行，实现污染物的达标排放并满足国家总量控制目标要求，从环境保护角度认为，该项目建设可行。</w:t>
            </w:r>
          </w:p>
          <w:p>
            <w:pPr>
              <w:pStyle w:val="23"/>
              <w:spacing w:line="360" w:lineRule="auto"/>
              <w:ind w:left="0" w:leftChars="0" w:firstLine="0" w:firstLineChars="0"/>
              <w:rPr>
                <w:rFonts w:hint="default" w:ascii="Times New Roman" w:hAnsi="Times New Roman" w:cs="Times New Roman"/>
                <w:color w:val="auto"/>
                <w:szCs w:val="24"/>
                <w:highlight w:val="none"/>
              </w:rPr>
            </w:pPr>
          </w:p>
          <w:p>
            <w:pPr>
              <w:spacing w:line="360" w:lineRule="auto"/>
              <w:rPr>
                <w:rFonts w:hint="default" w:ascii="Times New Roman" w:hAnsi="Times New Roman" w:cs="Times New Roman"/>
                <w:color w:val="auto"/>
                <w:szCs w:val="24"/>
                <w:highlight w:val="none"/>
              </w:rPr>
            </w:pPr>
          </w:p>
          <w:p>
            <w:pPr>
              <w:pStyle w:val="23"/>
              <w:spacing w:line="360" w:lineRule="auto"/>
              <w:ind w:left="0" w:leftChars="0" w:firstLine="0" w:firstLineChars="0"/>
              <w:rPr>
                <w:rFonts w:hint="default" w:ascii="Times New Roman" w:hAnsi="Times New Roman" w:cs="Times New Roman"/>
                <w:color w:val="auto"/>
                <w:szCs w:val="24"/>
                <w:highlight w:val="none"/>
              </w:rPr>
            </w:pPr>
          </w:p>
          <w:p>
            <w:pPr>
              <w:spacing w:line="360" w:lineRule="auto"/>
              <w:rPr>
                <w:rFonts w:hint="default" w:ascii="Times New Roman" w:hAnsi="Times New Roman" w:cs="Times New Roman"/>
                <w:color w:val="auto"/>
                <w:szCs w:val="24"/>
                <w:highlight w:val="none"/>
              </w:rPr>
            </w:pPr>
          </w:p>
          <w:p>
            <w:pPr>
              <w:pStyle w:val="23"/>
              <w:spacing w:line="360" w:lineRule="auto"/>
              <w:ind w:left="0" w:leftChars="0" w:firstLine="0" w:firstLineChars="0"/>
              <w:rPr>
                <w:rFonts w:hint="default" w:ascii="Times New Roman" w:hAnsi="Times New Roman" w:cs="Times New Roman"/>
                <w:color w:val="auto"/>
                <w:szCs w:val="24"/>
                <w:highlight w:val="none"/>
              </w:rPr>
            </w:pPr>
          </w:p>
          <w:p>
            <w:pPr>
              <w:spacing w:line="360" w:lineRule="auto"/>
              <w:rPr>
                <w:rFonts w:hint="default" w:ascii="Times New Roman" w:hAnsi="Times New Roman" w:cs="Times New Roman"/>
                <w:color w:val="auto"/>
                <w:szCs w:val="24"/>
                <w:highlight w:val="none"/>
              </w:rPr>
            </w:pPr>
          </w:p>
          <w:p>
            <w:pPr>
              <w:pStyle w:val="23"/>
              <w:spacing w:line="360" w:lineRule="auto"/>
              <w:ind w:left="0" w:leftChars="0" w:firstLine="0" w:firstLineChars="0"/>
              <w:rPr>
                <w:rFonts w:hint="default" w:ascii="Times New Roman" w:hAnsi="Times New Roman" w:cs="Times New Roman"/>
                <w:color w:val="auto"/>
                <w:szCs w:val="24"/>
                <w:highlight w:val="none"/>
              </w:rPr>
            </w:pPr>
          </w:p>
          <w:p>
            <w:pPr>
              <w:spacing w:line="360" w:lineRule="auto"/>
              <w:rPr>
                <w:rFonts w:hint="default" w:ascii="Times New Roman" w:hAnsi="Times New Roman" w:cs="Times New Roman"/>
                <w:color w:val="auto"/>
                <w:szCs w:val="24"/>
                <w:highlight w:val="none"/>
              </w:rPr>
            </w:pPr>
          </w:p>
          <w:p>
            <w:pPr>
              <w:pStyle w:val="23"/>
              <w:spacing w:line="360" w:lineRule="auto"/>
              <w:ind w:left="0" w:leftChars="0" w:firstLine="0" w:firstLineChars="0"/>
              <w:rPr>
                <w:rFonts w:hint="default" w:ascii="Times New Roman" w:hAnsi="Times New Roman" w:cs="Times New Roman"/>
                <w:color w:val="auto"/>
                <w:szCs w:val="24"/>
                <w:highlight w:val="none"/>
              </w:rPr>
            </w:pPr>
          </w:p>
          <w:p>
            <w:pPr>
              <w:spacing w:line="360" w:lineRule="auto"/>
              <w:rPr>
                <w:rFonts w:hint="default" w:ascii="Times New Roman" w:hAnsi="Times New Roman" w:cs="Times New Roman"/>
                <w:color w:val="auto"/>
                <w:szCs w:val="24"/>
                <w:highlight w:val="none"/>
              </w:rPr>
            </w:pPr>
          </w:p>
          <w:p>
            <w:pPr>
              <w:pStyle w:val="23"/>
              <w:spacing w:line="360" w:lineRule="auto"/>
              <w:ind w:left="0" w:leftChars="0" w:firstLine="0" w:firstLineChars="0"/>
              <w:rPr>
                <w:rFonts w:hint="default" w:ascii="Times New Roman" w:hAnsi="Times New Roman" w:cs="Times New Roman"/>
                <w:color w:val="auto"/>
                <w:szCs w:val="24"/>
                <w:highlight w:val="none"/>
              </w:rPr>
            </w:pPr>
          </w:p>
          <w:p>
            <w:pPr>
              <w:spacing w:line="360" w:lineRule="auto"/>
              <w:rPr>
                <w:rFonts w:hint="default" w:ascii="Times New Roman" w:hAnsi="Times New Roman" w:cs="Times New Roman"/>
                <w:color w:val="auto"/>
                <w:szCs w:val="24"/>
                <w:highlight w:val="none"/>
              </w:rPr>
            </w:pPr>
          </w:p>
          <w:p>
            <w:pPr>
              <w:pStyle w:val="23"/>
              <w:spacing w:line="360" w:lineRule="auto"/>
              <w:ind w:left="0" w:leftChars="0" w:firstLine="0" w:firstLineChars="0"/>
              <w:rPr>
                <w:rFonts w:hint="default" w:ascii="Times New Roman" w:hAnsi="Times New Roman" w:cs="Times New Roman"/>
                <w:color w:val="auto"/>
                <w:szCs w:val="24"/>
                <w:highlight w:val="none"/>
              </w:rPr>
            </w:pPr>
          </w:p>
          <w:p>
            <w:pPr>
              <w:spacing w:line="360" w:lineRule="auto"/>
              <w:rPr>
                <w:rFonts w:hint="default" w:ascii="Times New Roman" w:hAnsi="Times New Roman" w:cs="Times New Roman"/>
                <w:color w:val="auto"/>
                <w:szCs w:val="24"/>
                <w:highlight w:val="none"/>
              </w:rPr>
            </w:pPr>
          </w:p>
          <w:p>
            <w:pPr>
              <w:pStyle w:val="23"/>
              <w:spacing w:line="360" w:lineRule="auto"/>
              <w:ind w:left="0" w:leftChars="0" w:firstLine="0" w:firstLineChars="0"/>
              <w:rPr>
                <w:rFonts w:hint="default" w:ascii="Times New Roman" w:hAnsi="Times New Roman" w:cs="Times New Roman"/>
                <w:color w:val="auto"/>
                <w:szCs w:val="24"/>
                <w:highlight w:val="none"/>
              </w:rPr>
            </w:pPr>
          </w:p>
          <w:p>
            <w:pPr>
              <w:spacing w:line="360" w:lineRule="auto"/>
              <w:rPr>
                <w:rFonts w:hint="default" w:ascii="Times New Roman" w:hAnsi="Times New Roman" w:cs="Times New Roman"/>
                <w:color w:val="auto"/>
                <w:szCs w:val="24"/>
                <w:highlight w:val="none"/>
              </w:rPr>
            </w:pPr>
          </w:p>
          <w:p>
            <w:pPr>
              <w:pStyle w:val="23"/>
              <w:spacing w:line="360" w:lineRule="auto"/>
              <w:ind w:left="0" w:leftChars="0" w:firstLine="0" w:firstLineChars="0"/>
              <w:rPr>
                <w:rFonts w:hint="default" w:ascii="Times New Roman" w:hAnsi="Times New Roman" w:cs="Times New Roman"/>
                <w:color w:val="auto"/>
                <w:szCs w:val="24"/>
                <w:highlight w:val="none"/>
              </w:rPr>
            </w:pPr>
          </w:p>
          <w:p>
            <w:pPr>
              <w:spacing w:line="360" w:lineRule="auto"/>
              <w:rPr>
                <w:rFonts w:hint="default" w:ascii="Times New Roman" w:hAnsi="Times New Roman" w:cs="Times New Roman"/>
                <w:color w:val="auto"/>
                <w:szCs w:val="24"/>
                <w:highlight w:val="none"/>
              </w:rPr>
            </w:pPr>
          </w:p>
          <w:p>
            <w:pPr>
              <w:pStyle w:val="23"/>
              <w:spacing w:line="360" w:lineRule="auto"/>
              <w:ind w:left="0" w:leftChars="0" w:firstLine="0" w:firstLineChars="0"/>
              <w:rPr>
                <w:rFonts w:hint="default" w:ascii="Times New Roman" w:hAnsi="Times New Roman" w:cs="Times New Roman"/>
                <w:color w:val="auto"/>
                <w:szCs w:val="24"/>
                <w:highlight w:val="none"/>
              </w:rPr>
            </w:pPr>
          </w:p>
          <w:p>
            <w:pPr>
              <w:spacing w:line="360" w:lineRule="auto"/>
              <w:rPr>
                <w:rFonts w:hint="default" w:ascii="Times New Roman" w:hAnsi="Times New Roman" w:cs="Times New Roman"/>
                <w:color w:val="auto"/>
                <w:szCs w:val="24"/>
                <w:highlight w:val="none"/>
              </w:rPr>
            </w:pPr>
          </w:p>
          <w:p>
            <w:pPr>
              <w:pStyle w:val="23"/>
              <w:ind w:left="960" w:hanging="480"/>
              <w:rPr>
                <w:rFonts w:hint="default" w:ascii="Times New Roman" w:hAnsi="Times New Roman" w:cs="Times New Roman"/>
                <w:color w:val="auto"/>
                <w:highlight w:val="none"/>
              </w:rPr>
            </w:pPr>
          </w:p>
        </w:tc>
      </w:tr>
    </w:tbl>
    <w:p>
      <w:pPr>
        <w:rPr>
          <w:rFonts w:hint="default" w:ascii="Times New Roman" w:hAnsi="Times New Roman"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5"/>
        <w:adjustRightInd w:val="0"/>
        <w:snapToGrid w:val="0"/>
        <w:spacing w:before="0" w:beforeAutospacing="0" w:after="0" w:afterAutospacing="0" w:line="648" w:lineRule="auto"/>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pPr>
        <w:pStyle w:val="25"/>
        <w:adjustRightInd w:val="0"/>
        <w:snapToGrid w:val="0"/>
        <w:spacing w:before="0" w:beforeAutospacing="0" w:after="0" w:afterAutospacing="0" w:line="360" w:lineRule="auto"/>
        <w:jc w:val="center"/>
        <w:outlineLvl w:val="0"/>
        <w:rPr>
          <w:rFonts w:hint="default" w:ascii="Times New Roman" w:hAnsi="Times New Roman" w:eastAsia="方正小标宋_GBK" w:cs="Times New Roman"/>
          <w:snapToGrid w:val="0"/>
          <w:color w:val="auto"/>
          <w:sz w:val="38"/>
          <w:szCs w:val="38"/>
          <w:highlight w:val="none"/>
        </w:rPr>
      </w:pPr>
      <w:r>
        <w:rPr>
          <w:rFonts w:hint="default" w:ascii="Times New Roman" w:hAnsi="Times New Roman" w:eastAsia="方正小标宋_GBK" w:cs="Times New Roman"/>
          <w:snapToGrid w:val="0"/>
          <w:color w:val="auto"/>
          <w:sz w:val="38"/>
          <w:szCs w:val="38"/>
          <w:highlight w:val="none"/>
        </w:rPr>
        <w:t>建设项目污染物排放量汇总表</w:t>
      </w:r>
    </w:p>
    <w:tbl>
      <w:tblPr>
        <w:tblStyle w:val="29"/>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275"/>
        <w:gridCol w:w="1843"/>
        <w:gridCol w:w="1134"/>
        <w:gridCol w:w="1843"/>
        <w:gridCol w:w="1701"/>
        <w:gridCol w:w="1701"/>
        <w:gridCol w:w="1984"/>
        <w:gridCol w:w="13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99" w:type="dxa"/>
            <w:tcBorders>
              <w:tl2br w:val="single" w:color="auto" w:sz="4" w:space="0"/>
            </w:tcBorders>
            <w:tcMar>
              <w:left w:w="28" w:type="dxa"/>
              <w:right w:w="28" w:type="dxa"/>
            </w:tcMar>
            <w:vAlign w:val="center"/>
          </w:tcPr>
          <w:p>
            <w:pPr>
              <w:pStyle w:val="60"/>
              <w:spacing w:beforeLines="0" w:afterLines="0" w:line="240" w:lineRule="auto"/>
              <w:ind w:firstLine="0"/>
              <w:rPr>
                <w:rFonts w:hint="default" w:ascii="Times New Roman" w:hAnsi="Times New Roman" w:cs="Times New Roman"/>
                <w:b/>
                <w:bCs/>
                <w:snapToGrid w:val="0"/>
                <w:color w:val="auto"/>
                <w:spacing w:val="-6"/>
                <w:kern w:val="21"/>
                <w:szCs w:val="21"/>
                <w:highlight w:val="none"/>
              </w:rPr>
            </w:pPr>
            <w:r>
              <w:rPr>
                <w:rFonts w:hint="default" w:ascii="Times New Roman" w:hAnsi="Times New Roman" w:cs="Times New Roman"/>
                <w:b/>
                <w:bCs/>
                <w:snapToGrid w:val="0"/>
                <w:color w:val="auto"/>
                <w:spacing w:val="-6"/>
                <w:kern w:val="21"/>
                <w:szCs w:val="21"/>
                <w:highlight w:val="none"/>
              </w:rPr>
              <w:t xml:space="preserve">     项目</w:t>
            </w:r>
          </w:p>
          <w:p>
            <w:pPr>
              <w:pStyle w:val="60"/>
              <w:spacing w:beforeLines="0" w:afterLines="0" w:line="240" w:lineRule="auto"/>
              <w:ind w:firstLine="0"/>
              <w:jc w:val="both"/>
              <w:rPr>
                <w:rFonts w:hint="default" w:ascii="Times New Roman" w:hAnsi="Times New Roman" w:cs="Times New Roman"/>
                <w:b/>
                <w:bCs/>
                <w:snapToGrid w:val="0"/>
                <w:color w:val="auto"/>
                <w:spacing w:val="-6"/>
                <w:kern w:val="21"/>
                <w:szCs w:val="21"/>
                <w:highlight w:val="none"/>
              </w:rPr>
            </w:pPr>
            <w:r>
              <w:rPr>
                <w:rFonts w:hint="default" w:ascii="Times New Roman" w:hAnsi="Times New Roman" w:cs="Times New Roman"/>
                <w:b/>
                <w:bCs/>
                <w:snapToGrid w:val="0"/>
                <w:color w:val="auto"/>
                <w:spacing w:val="-6"/>
                <w:kern w:val="21"/>
                <w:szCs w:val="21"/>
                <w:highlight w:val="none"/>
              </w:rPr>
              <w:t>分类</w:t>
            </w:r>
          </w:p>
        </w:tc>
        <w:tc>
          <w:tcPr>
            <w:tcW w:w="1275" w:type="dxa"/>
            <w:tcMar>
              <w:left w:w="28" w:type="dxa"/>
              <w:right w:w="28" w:type="dxa"/>
            </w:tcMar>
            <w:vAlign w:val="center"/>
          </w:tcPr>
          <w:p>
            <w:pPr>
              <w:pStyle w:val="60"/>
              <w:spacing w:beforeLines="0" w:afterLines="0" w:line="240" w:lineRule="auto"/>
              <w:ind w:firstLine="0"/>
              <w:rPr>
                <w:rFonts w:hint="default" w:ascii="Times New Roman" w:hAnsi="Times New Roman" w:cs="Times New Roman"/>
                <w:b/>
                <w:bCs/>
                <w:snapToGrid w:val="0"/>
                <w:color w:val="auto"/>
                <w:spacing w:val="-6"/>
                <w:kern w:val="21"/>
                <w:szCs w:val="21"/>
                <w:highlight w:val="none"/>
              </w:rPr>
            </w:pPr>
            <w:r>
              <w:rPr>
                <w:rFonts w:hint="default" w:ascii="Times New Roman" w:hAnsi="Times New Roman" w:cs="Times New Roman"/>
                <w:b/>
                <w:bCs/>
                <w:snapToGrid w:val="0"/>
                <w:color w:val="auto"/>
                <w:spacing w:val="-6"/>
                <w:kern w:val="21"/>
                <w:szCs w:val="21"/>
                <w:highlight w:val="none"/>
              </w:rPr>
              <w:t>污染物名称</w:t>
            </w:r>
          </w:p>
        </w:tc>
        <w:tc>
          <w:tcPr>
            <w:tcW w:w="1843" w:type="dxa"/>
            <w:tcMar>
              <w:left w:w="28" w:type="dxa"/>
              <w:right w:w="28" w:type="dxa"/>
            </w:tcMar>
            <w:vAlign w:val="center"/>
          </w:tcPr>
          <w:p>
            <w:pPr>
              <w:pStyle w:val="60"/>
              <w:spacing w:beforeLines="0" w:afterLines="0" w:line="240" w:lineRule="auto"/>
              <w:ind w:firstLine="0"/>
              <w:rPr>
                <w:rFonts w:hint="default" w:ascii="Times New Roman" w:hAnsi="Times New Roman" w:cs="Times New Roman"/>
                <w:b/>
                <w:bCs/>
                <w:snapToGrid w:val="0"/>
                <w:color w:val="auto"/>
                <w:spacing w:val="-6"/>
                <w:kern w:val="21"/>
                <w:szCs w:val="21"/>
                <w:highlight w:val="none"/>
              </w:rPr>
            </w:pPr>
            <w:r>
              <w:rPr>
                <w:rFonts w:hint="default" w:ascii="Times New Roman" w:hAnsi="Times New Roman" w:cs="Times New Roman"/>
                <w:b/>
                <w:bCs/>
                <w:snapToGrid w:val="0"/>
                <w:color w:val="auto"/>
                <w:spacing w:val="-6"/>
                <w:kern w:val="21"/>
                <w:szCs w:val="21"/>
                <w:highlight w:val="none"/>
              </w:rPr>
              <w:t>现有工程排放量（固体废物产生量）</w:t>
            </w:r>
            <w:r>
              <w:rPr>
                <w:rFonts w:hint="default" w:ascii="Times New Roman" w:hAnsi="Times New Roman" w:cs="Times New Roman"/>
                <w:b/>
                <w:bCs/>
                <w:snapToGrid w:val="0"/>
                <w:color w:val="auto"/>
                <w:spacing w:val="-6"/>
                <w:kern w:val="21"/>
                <w:szCs w:val="21"/>
                <w:highlight w:val="none"/>
              </w:rPr>
              <w:fldChar w:fldCharType="begin"/>
            </w:r>
            <w:r>
              <w:rPr>
                <w:rFonts w:hint="default" w:ascii="Times New Roman" w:hAnsi="Times New Roman" w:cs="Times New Roman"/>
                <w:b/>
                <w:bCs/>
                <w:snapToGrid w:val="0"/>
                <w:color w:val="auto"/>
                <w:spacing w:val="-6"/>
                <w:kern w:val="21"/>
                <w:szCs w:val="21"/>
                <w:highlight w:val="none"/>
              </w:rPr>
              <w:instrText xml:space="preserve"> = 1 \* GB3 \* MERGEFORMAT </w:instrText>
            </w:r>
            <w:r>
              <w:rPr>
                <w:rFonts w:hint="default" w:ascii="Times New Roman" w:hAnsi="Times New Roman" w:cs="Times New Roman"/>
                <w:b/>
                <w:bCs/>
                <w:snapToGrid w:val="0"/>
                <w:color w:val="auto"/>
                <w:spacing w:val="-6"/>
                <w:kern w:val="21"/>
                <w:szCs w:val="21"/>
                <w:highlight w:val="none"/>
              </w:rPr>
              <w:fldChar w:fldCharType="separate"/>
            </w:r>
            <w:r>
              <w:rPr>
                <w:rFonts w:hint="default" w:ascii="Times New Roman" w:hAnsi="Times New Roman" w:cs="Times New Roman"/>
                <w:b/>
                <w:bCs/>
                <w:color w:val="auto"/>
                <w:kern w:val="2"/>
                <w:szCs w:val="21"/>
                <w:highlight w:val="none"/>
              </w:rPr>
              <w:t>①</w:t>
            </w:r>
            <w:r>
              <w:rPr>
                <w:rFonts w:hint="default" w:ascii="Times New Roman" w:hAnsi="Times New Roman" w:cs="Times New Roman"/>
                <w:b/>
                <w:bCs/>
                <w:snapToGrid w:val="0"/>
                <w:color w:val="auto"/>
                <w:spacing w:val="-6"/>
                <w:kern w:val="21"/>
                <w:szCs w:val="21"/>
                <w:highlight w:val="none"/>
              </w:rPr>
              <w:fldChar w:fldCharType="end"/>
            </w:r>
          </w:p>
        </w:tc>
        <w:tc>
          <w:tcPr>
            <w:tcW w:w="1134" w:type="dxa"/>
            <w:tcMar>
              <w:left w:w="28" w:type="dxa"/>
              <w:right w:w="28" w:type="dxa"/>
            </w:tcMar>
            <w:vAlign w:val="center"/>
          </w:tcPr>
          <w:p>
            <w:pPr>
              <w:pStyle w:val="60"/>
              <w:spacing w:beforeLines="0" w:afterLines="0" w:line="240" w:lineRule="auto"/>
              <w:ind w:firstLine="0"/>
              <w:rPr>
                <w:rFonts w:hint="default" w:ascii="Times New Roman" w:hAnsi="Times New Roman" w:cs="Times New Roman"/>
                <w:b/>
                <w:bCs/>
                <w:snapToGrid w:val="0"/>
                <w:color w:val="auto"/>
                <w:spacing w:val="-6"/>
                <w:kern w:val="21"/>
                <w:szCs w:val="21"/>
                <w:highlight w:val="none"/>
              </w:rPr>
            </w:pPr>
            <w:r>
              <w:rPr>
                <w:rFonts w:hint="default" w:ascii="Times New Roman" w:hAnsi="Times New Roman" w:cs="Times New Roman"/>
                <w:b/>
                <w:bCs/>
                <w:snapToGrid w:val="0"/>
                <w:color w:val="auto"/>
                <w:spacing w:val="-6"/>
                <w:kern w:val="21"/>
                <w:szCs w:val="21"/>
                <w:highlight w:val="none"/>
              </w:rPr>
              <w:t>现有工程许可排放量</w:t>
            </w:r>
            <w:r>
              <w:rPr>
                <w:rFonts w:hint="default" w:ascii="Times New Roman" w:hAnsi="Times New Roman" w:cs="Times New Roman"/>
                <w:b/>
                <w:bCs/>
                <w:snapToGrid w:val="0"/>
                <w:color w:val="auto"/>
                <w:spacing w:val="-6"/>
                <w:kern w:val="21"/>
                <w:szCs w:val="21"/>
                <w:highlight w:val="none"/>
              </w:rPr>
              <w:fldChar w:fldCharType="begin"/>
            </w:r>
            <w:r>
              <w:rPr>
                <w:rFonts w:hint="default" w:ascii="Times New Roman" w:hAnsi="Times New Roman" w:cs="Times New Roman"/>
                <w:b/>
                <w:bCs/>
                <w:snapToGrid w:val="0"/>
                <w:color w:val="auto"/>
                <w:spacing w:val="-6"/>
                <w:kern w:val="21"/>
                <w:szCs w:val="21"/>
                <w:highlight w:val="none"/>
              </w:rPr>
              <w:instrText xml:space="preserve"> = 2 \* GB3 \* MERGEFORMAT </w:instrText>
            </w:r>
            <w:r>
              <w:rPr>
                <w:rFonts w:hint="default" w:ascii="Times New Roman" w:hAnsi="Times New Roman" w:cs="Times New Roman"/>
                <w:b/>
                <w:bCs/>
                <w:snapToGrid w:val="0"/>
                <w:color w:val="auto"/>
                <w:spacing w:val="-6"/>
                <w:kern w:val="21"/>
                <w:szCs w:val="21"/>
                <w:highlight w:val="none"/>
              </w:rPr>
              <w:fldChar w:fldCharType="separate"/>
            </w:r>
            <w:r>
              <w:rPr>
                <w:rFonts w:hint="default" w:ascii="Times New Roman" w:hAnsi="Times New Roman" w:cs="Times New Roman"/>
                <w:b/>
                <w:bCs/>
                <w:snapToGrid w:val="0"/>
                <w:color w:val="auto"/>
                <w:spacing w:val="-6"/>
                <w:kern w:val="21"/>
                <w:szCs w:val="21"/>
                <w:highlight w:val="none"/>
              </w:rPr>
              <w:t>②</w:t>
            </w:r>
            <w:r>
              <w:rPr>
                <w:rFonts w:hint="default" w:ascii="Times New Roman" w:hAnsi="Times New Roman" w:cs="Times New Roman"/>
                <w:b/>
                <w:bCs/>
                <w:snapToGrid w:val="0"/>
                <w:color w:val="auto"/>
                <w:spacing w:val="-6"/>
                <w:kern w:val="21"/>
                <w:szCs w:val="21"/>
                <w:highlight w:val="none"/>
              </w:rPr>
              <w:fldChar w:fldCharType="end"/>
            </w:r>
          </w:p>
        </w:tc>
        <w:tc>
          <w:tcPr>
            <w:tcW w:w="1843" w:type="dxa"/>
            <w:tcMar>
              <w:left w:w="28" w:type="dxa"/>
              <w:right w:w="28" w:type="dxa"/>
            </w:tcMar>
            <w:vAlign w:val="center"/>
          </w:tcPr>
          <w:p>
            <w:pPr>
              <w:pStyle w:val="60"/>
              <w:spacing w:beforeLines="0" w:afterLines="0" w:line="240" w:lineRule="auto"/>
              <w:ind w:firstLine="0"/>
              <w:rPr>
                <w:rFonts w:hint="default" w:ascii="Times New Roman" w:hAnsi="Times New Roman" w:cs="Times New Roman"/>
                <w:b/>
                <w:bCs/>
                <w:snapToGrid w:val="0"/>
                <w:color w:val="auto"/>
                <w:spacing w:val="-6"/>
                <w:kern w:val="21"/>
                <w:szCs w:val="21"/>
                <w:highlight w:val="none"/>
              </w:rPr>
            </w:pPr>
            <w:r>
              <w:rPr>
                <w:rFonts w:hint="default" w:ascii="Times New Roman" w:hAnsi="Times New Roman" w:cs="Times New Roman"/>
                <w:b/>
                <w:bCs/>
                <w:snapToGrid w:val="0"/>
                <w:color w:val="auto"/>
                <w:spacing w:val="-6"/>
                <w:kern w:val="21"/>
                <w:szCs w:val="21"/>
                <w:highlight w:val="none"/>
              </w:rPr>
              <w:t>在建工程排放量（固体废物产生量）</w:t>
            </w:r>
            <w:r>
              <w:rPr>
                <w:rFonts w:hint="default" w:ascii="Times New Roman" w:hAnsi="Times New Roman" w:cs="Times New Roman"/>
                <w:b/>
                <w:bCs/>
                <w:snapToGrid w:val="0"/>
                <w:color w:val="auto"/>
                <w:spacing w:val="-6"/>
                <w:kern w:val="21"/>
                <w:szCs w:val="21"/>
                <w:highlight w:val="none"/>
              </w:rPr>
              <w:fldChar w:fldCharType="begin"/>
            </w:r>
            <w:r>
              <w:rPr>
                <w:rFonts w:hint="default" w:ascii="Times New Roman" w:hAnsi="Times New Roman" w:cs="Times New Roman"/>
                <w:b/>
                <w:bCs/>
                <w:snapToGrid w:val="0"/>
                <w:color w:val="auto"/>
                <w:spacing w:val="-6"/>
                <w:kern w:val="21"/>
                <w:szCs w:val="21"/>
                <w:highlight w:val="none"/>
              </w:rPr>
              <w:instrText xml:space="preserve"> = 3 \* GB3 \* MERGEFORMAT </w:instrText>
            </w:r>
            <w:r>
              <w:rPr>
                <w:rFonts w:hint="default" w:ascii="Times New Roman" w:hAnsi="Times New Roman" w:cs="Times New Roman"/>
                <w:b/>
                <w:bCs/>
                <w:snapToGrid w:val="0"/>
                <w:color w:val="auto"/>
                <w:spacing w:val="-6"/>
                <w:kern w:val="21"/>
                <w:szCs w:val="21"/>
                <w:highlight w:val="none"/>
              </w:rPr>
              <w:fldChar w:fldCharType="separate"/>
            </w:r>
            <w:r>
              <w:rPr>
                <w:rFonts w:hint="default" w:ascii="Times New Roman" w:hAnsi="Times New Roman" w:cs="Times New Roman"/>
                <w:b/>
                <w:bCs/>
                <w:color w:val="auto"/>
                <w:kern w:val="2"/>
                <w:szCs w:val="21"/>
                <w:highlight w:val="none"/>
              </w:rPr>
              <w:t>③</w:t>
            </w:r>
            <w:r>
              <w:rPr>
                <w:rFonts w:hint="default" w:ascii="Times New Roman" w:hAnsi="Times New Roman" w:cs="Times New Roman"/>
                <w:b/>
                <w:bCs/>
                <w:snapToGrid w:val="0"/>
                <w:color w:val="auto"/>
                <w:spacing w:val="-6"/>
                <w:kern w:val="21"/>
                <w:szCs w:val="21"/>
                <w:highlight w:val="none"/>
              </w:rPr>
              <w:fldChar w:fldCharType="end"/>
            </w:r>
          </w:p>
        </w:tc>
        <w:tc>
          <w:tcPr>
            <w:tcW w:w="1701" w:type="dxa"/>
            <w:tcMar>
              <w:left w:w="28" w:type="dxa"/>
              <w:right w:w="28" w:type="dxa"/>
            </w:tcMar>
            <w:vAlign w:val="center"/>
          </w:tcPr>
          <w:p>
            <w:pPr>
              <w:pStyle w:val="60"/>
              <w:spacing w:beforeLines="0" w:afterLines="0" w:line="240" w:lineRule="auto"/>
              <w:ind w:firstLine="0"/>
              <w:rPr>
                <w:rFonts w:hint="default" w:ascii="Times New Roman" w:hAnsi="Times New Roman" w:cs="Times New Roman"/>
                <w:b/>
                <w:bCs/>
                <w:snapToGrid w:val="0"/>
                <w:color w:val="auto"/>
                <w:spacing w:val="-6"/>
                <w:kern w:val="21"/>
                <w:szCs w:val="21"/>
                <w:highlight w:val="none"/>
              </w:rPr>
            </w:pPr>
            <w:r>
              <w:rPr>
                <w:rFonts w:hint="default" w:ascii="Times New Roman" w:hAnsi="Times New Roman" w:cs="Times New Roman"/>
                <w:b/>
                <w:bCs/>
                <w:snapToGrid w:val="0"/>
                <w:color w:val="auto"/>
                <w:spacing w:val="-6"/>
                <w:kern w:val="21"/>
                <w:szCs w:val="21"/>
                <w:highlight w:val="none"/>
              </w:rPr>
              <w:t>本项目排放量（固体废物产生量）</w:t>
            </w:r>
            <w:r>
              <w:rPr>
                <w:rFonts w:hint="default" w:ascii="Times New Roman" w:hAnsi="Times New Roman" w:cs="Times New Roman"/>
                <w:b/>
                <w:bCs/>
                <w:snapToGrid w:val="0"/>
                <w:color w:val="auto"/>
                <w:spacing w:val="-6"/>
                <w:kern w:val="21"/>
                <w:szCs w:val="21"/>
                <w:highlight w:val="none"/>
              </w:rPr>
              <w:fldChar w:fldCharType="begin"/>
            </w:r>
            <w:r>
              <w:rPr>
                <w:rFonts w:hint="default" w:ascii="Times New Roman" w:hAnsi="Times New Roman" w:cs="Times New Roman"/>
                <w:b/>
                <w:bCs/>
                <w:snapToGrid w:val="0"/>
                <w:color w:val="auto"/>
                <w:spacing w:val="-6"/>
                <w:kern w:val="21"/>
                <w:szCs w:val="21"/>
                <w:highlight w:val="none"/>
              </w:rPr>
              <w:instrText xml:space="preserve"> = 4 \* GB3 \* MERGEFORMAT </w:instrText>
            </w:r>
            <w:r>
              <w:rPr>
                <w:rFonts w:hint="default" w:ascii="Times New Roman" w:hAnsi="Times New Roman" w:cs="Times New Roman"/>
                <w:b/>
                <w:bCs/>
                <w:snapToGrid w:val="0"/>
                <w:color w:val="auto"/>
                <w:spacing w:val="-6"/>
                <w:kern w:val="21"/>
                <w:szCs w:val="21"/>
                <w:highlight w:val="none"/>
              </w:rPr>
              <w:fldChar w:fldCharType="separate"/>
            </w:r>
            <w:r>
              <w:rPr>
                <w:rFonts w:hint="default" w:ascii="Times New Roman" w:hAnsi="Times New Roman" w:cs="Times New Roman"/>
                <w:b/>
                <w:bCs/>
                <w:color w:val="auto"/>
                <w:kern w:val="2"/>
                <w:szCs w:val="21"/>
                <w:highlight w:val="none"/>
              </w:rPr>
              <w:t>④</w:t>
            </w:r>
            <w:r>
              <w:rPr>
                <w:rFonts w:hint="default" w:ascii="Times New Roman" w:hAnsi="Times New Roman" w:cs="Times New Roman"/>
                <w:b/>
                <w:bCs/>
                <w:snapToGrid w:val="0"/>
                <w:color w:val="auto"/>
                <w:spacing w:val="-6"/>
                <w:kern w:val="21"/>
                <w:szCs w:val="21"/>
                <w:highlight w:val="none"/>
              </w:rPr>
              <w:fldChar w:fldCharType="end"/>
            </w:r>
          </w:p>
        </w:tc>
        <w:tc>
          <w:tcPr>
            <w:tcW w:w="1701" w:type="dxa"/>
            <w:tcMar>
              <w:left w:w="28" w:type="dxa"/>
              <w:right w:w="28" w:type="dxa"/>
            </w:tcMar>
            <w:vAlign w:val="center"/>
          </w:tcPr>
          <w:p>
            <w:pPr>
              <w:pStyle w:val="60"/>
              <w:spacing w:beforeLines="0" w:afterLines="0" w:line="240" w:lineRule="auto"/>
              <w:ind w:firstLine="0"/>
              <w:rPr>
                <w:rFonts w:hint="default" w:ascii="Times New Roman" w:hAnsi="Times New Roman" w:cs="Times New Roman"/>
                <w:b/>
                <w:bCs/>
                <w:snapToGrid w:val="0"/>
                <w:color w:val="auto"/>
                <w:spacing w:val="-16"/>
                <w:kern w:val="21"/>
                <w:szCs w:val="21"/>
                <w:highlight w:val="none"/>
              </w:rPr>
            </w:pPr>
            <w:r>
              <w:rPr>
                <w:rFonts w:hint="default" w:ascii="Times New Roman" w:hAnsi="Times New Roman" w:cs="Times New Roman"/>
                <w:b/>
                <w:bCs/>
                <w:snapToGrid w:val="0"/>
                <w:color w:val="auto"/>
                <w:spacing w:val="-16"/>
                <w:kern w:val="21"/>
                <w:szCs w:val="21"/>
                <w:highlight w:val="none"/>
              </w:rPr>
              <w:t>以新带老削减量（新建项目不填）</w:t>
            </w:r>
            <w:r>
              <w:rPr>
                <w:rFonts w:hint="default" w:ascii="Times New Roman" w:hAnsi="Times New Roman" w:cs="Times New Roman"/>
                <w:b/>
                <w:bCs/>
                <w:snapToGrid w:val="0"/>
                <w:color w:val="auto"/>
                <w:spacing w:val="-16"/>
                <w:kern w:val="21"/>
                <w:szCs w:val="21"/>
                <w:highlight w:val="none"/>
              </w:rPr>
              <w:fldChar w:fldCharType="begin"/>
            </w:r>
            <w:r>
              <w:rPr>
                <w:rFonts w:hint="default" w:ascii="Times New Roman" w:hAnsi="Times New Roman" w:cs="Times New Roman"/>
                <w:b/>
                <w:bCs/>
                <w:snapToGrid w:val="0"/>
                <w:color w:val="auto"/>
                <w:spacing w:val="-16"/>
                <w:kern w:val="21"/>
                <w:szCs w:val="21"/>
                <w:highlight w:val="none"/>
              </w:rPr>
              <w:instrText xml:space="preserve"> = 5 \* GB3 \* MERGEFORMAT </w:instrText>
            </w:r>
            <w:r>
              <w:rPr>
                <w:rFonts w:hint="default" w:ascii="Times New Roman" w:hAnsi="Times New Roman" w:cs="Times New Roman"/>
                <w:b/>
                <w:bCs/>
                <w:snapToGrid w:val="0"/>
                <w:color w:val="auto"/>
                <w:spacing w:val="-16"/>
                <w:kern w:val="21"/>
                <w:szCs w:val="21"/>
                <w:highlight w:val="none"/>
              </w:rPr>
              <w:fldChar w:fldCharType="separate"/>
            </w:r>
            <w:r>
              <w:rPr>
                <w:rFonts w:hint="default" w:ascii="Times New Roman" w:hAnsi="Times New Roman" w:cs="Times New Roman"/>
                <w:b/>
                <w:bCs/>
                <w:color w:val="auto"/>
                <w:kern w:val="2"/>
                <w:szCs w:val="21"/>
                <w:highlight w:val="none"/>
              </w:rPr>
              <w:t>⑤</w:t>
            </w:r>
            <w:r>
              <w:rPr>
                <w:rFonts w:hint="default" w:ascii="Times New Roman" w:hAnsi="Times New Roman" w:cs="Times New Roman"/>
                <w:b/>
                <w:bCs/>
                <w:snapToGrid w:val="0"/>
                <w:color w:val="auto"/>
                <w:spacing w:val="-16"/>
                <w:kern w:val="21"/>
                <w:szCs w:val="21"/>
                <w:highlight w:val="none"/>
              </w:rPr>
              <w:fldChar w:fldCharType="end"/>
            </w:r>
          </w:p>
        </w:tc>
        <w:tc>
          <w:tcPr>
            <w:tcW w:w="1984" w:type="dxa"/>
            <w:tcMar>
              <w:left w:w="28" w:type="dxa"/>
              <w:right w:w="28" w:type="dxa"/>
            </w:tcMar>
            <w:vAlign w:val="center"/>
          </w:tcPr>
          <w:p>
            <w:pPr>
              <w:pStyle w:val="60"/>
              <w:spacing w:beforeLines="0" w:afterLines="0" w:line="240" w:lineRule="auto"/>
              <w:ind w:firstLine="0"/>
              <w:rPr>
                <w:rFonts w:hint="default" w:ascii="Times New Roman" w:hAnsi="Times New Roman" w:cs="Times New Roman"/>
                <w:b/>
                <w:bCs/>
                <w:snapToGrid w:val="0"/>
                <w:color w:val="auto"/>
                <w:spacing w:val="-16"/>
                <w:kern w:val="21"/>
                <w:szCs w:val="21"/>
                <w:highlight w:val="none"/>
              </w:rPr>
            </w:pPr>
            <w:r>
              <w:rPr>
                <w:rFonts w:hint="default" w:ascii="Times New Roman" w:hAnsi="Times New Roman" w:cs="Times New Roman"/>
                <w:b/>
                <w:bCs/>
                <w:snapToGrid w:val="0"/>
                <w:color w:val="auto"/>
                <w:spacing w:val="-16"/>
                <w:kern w:val="21"/>
                <w:szCs w:val="21"/>
                <w:highlight w:val="none"/>
              </w:rPr>
              <w:t>本项目建成后全厂排放量（固体废物产生量）</w:t>
            </w:r>
            <w:r>
              <w:rPr>
                <w:rFonts w:hint="default" w:ascii="Times New Roman" w:hAnsi="Times New Roman" w:cs="Times New Roman"/>
                <w:b/>
                <w:bCs/>
                <w:snapToGrid w:val="0"/>
                <w:color w:val="auto"/>
                <w:spacing w:val="-16"/>
                <w:kern w:val="21"/>
                <w:szCs w:val="21"/>
                <w:highlight w:val="none"/>
              </w:rPr>
              <w:fldChar w:fldCharType="begin"/>
            </w:r>
            <w:r>
              <w:rPr>
                <w:rFonts w:hint="default" w:ascii="Times New Roman" w:hAnsi="Times New Roman" w:cs="Times New Roman"/>
                <w:b/>
                <w:bCs/>
                <w:snapToGrid w:val="0"/>
                <w:color w:val="auto"/>
                <w:spacing w:val="-16"/>
                <w:kern w:val="21"/>
                <w:szCs w:val="21"/>
                <w:highlight w:val="none"/>
              </w:rPr>
              <w:instrText xml:space="preserve"> = 6 \* GB3 \* MERGEFORMAT </w:instrText>
            </w:r>
            <w:r>
              <w:rPr>
                <w:rFonts w:hint="default" w:ascii="Times New Roman" w:hAnsi="Times New Roman" w:cs="Times New Roman"/>
                <w:b/>
                <w:bCs/>
                <w:snapToGrid w:val="0"/>
                <w:color w:val="auto"/>
                <w:spacing w:val="-16"/>
                <w:kern w:val="21"/>
                <w:szCs w:val="21"/>
                <w:highlight w:val="none"/>
              </w:rPr>
              <w:fldChar w:fldCharType="separate"/>
            </w:r>
            <w:r>
              <w:rPr>
                <w:rFonts w:hint="default" w:ascii="Times New Roman" w:hAnsi="Times New Roman" w:cs="Times New Roman"/>
                <w:b/>
                <w:bCs/>
                <w:color w:val="auto"/>
                <w:kern w:val="2"/>
                <w:szCs w:val="21"/>
                <w:highlight w:val="none"/>
              </w:rPr>
              <w:t>⑥</w:t>
            </w:r>
            <w:r>
              <w:rPr>
                <w:rFonts w:hint="default" w:ascii="Times New Roman" w:hAnsi="Times New Roman" w:cs="Times New Roman"/>
                <w:b/>
                <w:bCs/>
                <w:snapToGrid w:val="0"/>
                <w:color w:val="auto"/>
                <w:spacing w:val="-16"/>
                <w:kern w:val="21"/>
                <w:szCs w:val="21"/>
                <w:highlight w:val="none"/>
              </w:rPr>
              <w:fldChar w:fldCharType="end"/>
            </w:r>
          </w:p>
        </w:tc>
        <w:tc>
          <w:tcPr>
            <w:tcW w:w="1308" w:type="dxa"/>
            <w:tcMar>
              <w:left w:w="28" w:type="dxa"/>
              <w:right w:w="28" w:type="dxa"/>
            </w:tcMar>
            <w:vAlign w:val="center"/>
          </w:tcPr>
          <w:p>
            <w:pPr>
              <w:pStyle w:val="60"/>
              <w:spacing w:beforeLines="0" w:afterLines="0" w:line="240" w:lineRule="auto"/>
              <w:ind w:firstLine="0"/>
              <w:rPr>
                <w:rFonts w:hint="default" w:ascii="Times New Roman" w:hAnsi="Times New Roman" w:cs="Times New Roman"/>
                <w:b/>
                <w:bCs/>
                <w:snapToGrid w:val="0"/>
                <w:color w:val="auto"/>
                <w:spacing w:val="-6"/>
                <w:kern w:val="21"/>
                <w:szCs w:val="21"/>
                <w:highlight w:val="none"/>
              </w:rPr>
            </w:pPr>
            <w:r>
              <w:rPr>
                <w:rFonts w:hint="default" w:ascii="Times New Roman" w:hAnsi="Times New Roman" w:cs="Times New Roman"/>
                <w:b/>
                <w:bCs/>
                <w:snapToGrid w:val="0"/>
                <w:color w:val="auto"/>
                <w:spacing w:val="-6"/>
                <w:kern w:val="21"/>
                <w:szCs w:val="21"/>
                <w:highlight w:val="none"/>
              </w:rPr>
              <w:t>变化量</w:t>
            </w:r>
            <w:r>
              <w:rPr>
                <w:rFonts w:hint="default" w:ascii="Times New Roman" w:hAnsi="Times New Roman" w:cs="Times New Roman"/>
                <w:b/>
                <w:bCs/>
                <w:snapToGrid w:val="0"/>
                <w:color w:val="auto"/>
                <w:spacing w:val="-6"/>
                <w:kern w:val="21"/>
                <w:szCs w:val="21"/>
                <w:highlight w:val="none"/>
              </w:rPr>
              <w:fldChar w:fldCharType="begin"/>
            </w:r>
            <w:r>
              <w:rPr>
                <w:rFonts w:hint="default" w:ascii="Times New Roman" w:hAnsi="Times New Roman" w:cs="Times New Roman"/>
                <w:b/>
                <w:bCs/>
                <w:snapToGrid w:val="0"/>
                <w:color w:val="auto"/>
                <w:spacing w:val="-6"/>
                <w:kern w:val="21"/>
                <w:szCs w:val="21"/>
                <w:highlight w:val="none"/>
              </w:rPr>
              <w:instrText xml:space="preserve"> = 7 \* GB3 \* MERGEFORMAT </w:instrText>
            </w:r>
            <w:r>
              <w:rPr>
                <w:rFonts w:hint="default" w:ascii="Times New Roman" w:hAnsi="Times New Roman" w:cs="Times New Roman"/>
                <w:b/>
                <w:bCs/>
                <w:snapToGrid w:val="0"/>
                <w:color w:val="auto"/>
                <w:spacing w:val="-6"/>
                <w:kern w:val="21"/>
                <w:szCs w:val="21"/>
                <w:highlight w:val="none"/>
              </w:rPr>
              <w:fldChar w:fldCharType="separate"/>
            </w:r>
            <w:r>
              <w:rPr>
                <w:rFonts w:hint="default" w:ascii="Times New Roman" w:hAnsi="Times New Roman" w:cs="Times New Roman"/>
                <w:b/>
                <w:bCs/>
                <w:color w:val="auto"/>
                <w:kern w:val="2"/>
                <w:szCs w:val="21"/>
                <w:highlight w:val="none"/>
              </w:rPr>
              <w:t>⑦</w:t>
            </w:r>
            <w:r>
              <w:rPr>
                <w:rFonts w:hint="default" w:ascii="Times New Roman" w:hAnsi="Times New Roman" w:cs="Times New Roman"/>
                <w:b/>
                <w:bCs/>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废气</w:t>
            </w:r>
          </w:p>
        </w:tc>
        <w:tc>
          <w:tcPr>
            <w:tcW w:w="1275"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VOCs</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w:t>
            </w:r>
            <w:r>
              <w:rPr>
                <w:rFonts w:hint="eastAsia" w:ascii="Times New Roman" w:hAnsi="Times New Roman" w:eastAsia="宋体" w:cs="Times New Roman"/>
                <w:color w:val="auto"/>
                <w:sz w:val="21"/>
                <w:szCs w:val="21"/>
                <w:highlight w:val="none"/>
                <w:lang w:val="en-US" w:eastAsia="zh-CN" w:bidi="ar-SA"/>
              </w:rPr>
              <w:t>703</w:t>
            </w:r>
            <w:r>
              <w:rPr>
                <w:rFonts w:hint="default" w:ascii="Times New Roman" w:hAnsi="Times New Roman" w:eastAsia="宋体" w:cs="Times New Roman"/>
                <w:color w:val="auto"/>
                <w:sz w:val="21"/>
                <w:szCs w:val="21"/>
                <w:highlight w:val="none"/>
                <w:lang w:val="en-US" w:eastAsia="zh-CN" w:bidi="ar-SA"/>
              </w:rPr>
              <w:t>t/a</w:t>
            </w:r>
          </w:p>
        </w:tc>
        <w:tc>
          <w:tcPr>
            <w:tcW w:w="1701"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w:t>
            </w:r>
            <w:r>
              <w:rPr>
                <w:rFonts w:hint="eastAsia" w:ascii="Times New Roman" w:hAnsi="Times New Roman" w:eastAsia="宋体" w:cs="Times New Roman"/>
                <w:color w:val="auto"/>
                <w:sz w:val="21"/>
                <w:szCs w:val="21"/>
                <w:highlight w:val="none"/>
                <w:lang w:val="en-US" w:eastAsia="zh-CN" w:bidi="ar-SA"/>
              </w:rPr>
              <w:t>703</w:t>
            </w:r>
            <w:r>
              <w:rPr>
                <w:rFonts w:hint="default" w:ascii="Times New Roman" w:hAnsi="Times New Roman" w:eastAsia="宋体" w:cs="Times New Roman"/>
                <w:color w:val="auto"/>
                <w:sz w:val="21"/>
                <w:szCs w:val="21"/>
                <w:highlight w:val="none"/>
                <w:lang w:val="en-US" w:eastAsia="zh-CN" w:bidi="ar-SA"/>
              </w:rPr>
              <w:t>t/a</w:t>
            </w:r>
          </w:p>
        </w:tc>
        <w:tc>
          <w:tcPr>
            <w:tcW w:w="1308"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0.</w:t>
            </w:r>
            <w:r>
              <w:rPr>
                <w:rFonts w:hint="eastAsia" w:ascii="Times New Roman" w:hAnsi="Times New Roman" w:eastAsia="宋体" w:cs="Times New Roman"/>
                <w:color w:val="auto"/>
                <w:sz w:val="21"/>
                <w:szCs w:val="21"/>
                <w:highlight w:val="none"/>
                <w:lang w:val="en-US" w:eastAsia="zh-CN" w:bidi="ar-SA"/>
              </w:rPr>
              <w:t>703</w:t>
            </w:r>
            <w:r>
              <w:rPr>
                <w:rFonts w:hint="default" w:ascii="Times New Roman" w:hAnsi="Times New Roman" w:eastAsia="宋体" w:cs="Times New Roman"/>
                <w:color w:val="auto"/>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restart"/>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废水</w:t>
            </w:r>
          </w:p>
        </w:tc>
        <w:tc>
          <w:tcPr>
            <w:tcW w:w="1275"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CODcr</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w:t>
            </w:r>
            <w:r>
              <w:rPr>
                <w:rFonts w:hint="eastAsia" w:ascii="Times New Roman" w:hAnsi="Times New Roman" w:eastAsia="宋体" w:cs="Times New Roman"/>
                <w:color w:val="auto"/>
                <w:sz w:val="21"/>
                <w:szCs w:val="21"/>
                <w:highlight w:val="none"/>
                <w:lang w:val="en-US" w:eastAsia="zh-CN" w:bidi="ar-SA"/>
              </w:rPr>
              <w:t>28</w:t>
            </w:r>
            <w:r>
              <w:rPr>
                <w:rFonts w:hint="eastAsia" w:cs="Times New Roman"/>
                <w:color w:val="auto"/>
                <w:sz w:val="21"/>
                <w:szCs w:val="21"/>
                <w:highlight w:val="none"/>
                <w:lang w:val="en-US" w:eastAsia="zh-CN" w:bidi="ar-SA"/>
              </w:rPr>
              <w:t>35</w:t>
            </w:r>
            <w:r>
              <w:rPr>
                <w:rFonts w:hint="default" w:ascii="Times New Roman" w:hAnsi="Times New Roman" w:eastAsia="宋体" w:cs="Times New Roman"/>
                <w:color w:val="auto"/>
                <w:sz w:val="21"/>
                <w:szCs w:val="21"/>
                <w:highlight w:val="none"/>
                <w:lang w:val="en-US" w:eastAsia="zh-CN" w:bidi="ar-SA"/>
              </w:rPr>
              <w:t>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w:t>
            </w:r>
            <w:r>
              <w:rPr>
                <w:rFonts w:hint="eastAsia" w:ascii="Times New Roman" w:hAnsi="Times New Roman" w:eastAsia="宋体" w:cs="Times New Roman"/>
                <w:color w:val="auto"/>
                <w:sz w:val="21"/>
                <w:szCs w:val="21"/>
                <w:highlight w:val="none"/>
                <w:lang w:val="en-US" w:eastAsia="zh-CN" w:bidi="ar-SA"/>
              </w:rPr>
              <w:t>28</w:t>
            </w:r>
            <w:r>
              <w:rPr>
                <w:rFonts w:hint="eastAsia" w:cs="Times New Roman"/>
                <w:color w:val="auto"/>
                <w:sz w:val="21"/>
                <w:szCs w:val="21"/>
                <w:highlight w:val="none"/>
                <w:lang w:val="en-US" w:eastAsia="zh-CN" w:bidi="ar-SA"/>
              </w:rPr>
              <w:t>35</w:t>
            </w:r>
            <w:r>
              <w:rPr>
                <w:rFonts w:hint="default" w:ascii="Times New Roman" w:hAnsi="Times New Roman" w:eastAsia="宋体" w:cs="Times New Roman"/>
                <w:color w:val="auto"/>
                <w:sz w:val="21"/>
                <w:szCs w:val="21"/>
                <w:highlight w:val="none"/>
                <w:lang w:val="en-US" w:eastAsia="zh-CN" w:bidi="ar-SA"/>
              </w:rPr>
              <w:t>t/a</w:t>
            </w:r>
          </w:p>
        </w:tc>
        <w:tc>
          <w:tcPr>
            <w:tcW w:w="1308"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0.</w:t>
            </w:r>
            <w:r>
              <w:rPr>
                <w:rFonts w:hint="eastAsia" w:ascii="Times New Roman" w:hAnsi="Times New Roman" w:eastAsia="宋体" w:cs="Times New Roman"/>
                <w:color w:val="auto"/>
                <w:sz w:val="21"/>
                <w:szCs w:val="21"/>
                <w:highlight w:val="none"/>
                <w:lang w:val="en-US" w:eastAsia="zh-CN" w:bidi="ar-SA"/>
              </w:rPr>
              <w:t>28</w:t>
            </w:r>
            <w:r>
              <w:rPr>
                <w:rFonts w:hint="eastAsia" w:cs="Times New Roman"/>
                <w:color w:val="auto"/>
                <w:sz w:val="21"/>
                <w:szCs w:val="21"/>
                <w:highlight w:val="none"/>
                <w:lang w:val="en-US" w:eastAsia="zh-CN" w:bidi="ar-SA"/>
              </w:rPr>
              <w:t>35</w:t>
            </w:r>
            <w:r>
              <w:rPr>
                <w:rFonts w:hint="default" w:ascii="Times New Roman" w:hAnsi="Times New Roman" w:eastAsia="宋体" w:cs="Times New Roman"/>
                <w:color w:val="auto"/>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氨氮</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w:t>
            </w:r>
            <w:r>
              <w:rPr>
                <w:rFonts w:hint="eastAsia" w:ascii="Times New Roman" w:hAnsi="Times New Roman" w:eastAsia="宋体" w:cs="Times New Roman"/>
                <w:color w:val="auto"/>
                <w:sz w:val="21"/>
                <w:szCs w:val="21"/>
                <w:highlight w:val="none"/>
                <w:lang w:val="en-US" w:eastAsia="zh-CN" w:bidi="ar-SA"/>
              </w:rPr>
              <w:t>243</w:t>
            </w:r>
            <w:r>
              <w:rPr>
                <w:rFonts w:hint="default" w:ascii="Times New Roman" w:hAnsi="Times New Roman" w:eastAsia="宋体" w:cs="Times New Roman"/>
                <w:color w:val="auto"/>
                <w:sz w:val="21"/>
                <w:szCs w:val="21"/>
                <w:highlight w:val="none"/>
                <w:lang w:val="en-US" w:eastAsia="zh-CN" w:bidi="ar-SA"/>
              </w:rPr>
              <w:t>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0.0</w:t>
            </w:r>
            <w:r>
              <w:rPr>
                <w:rFonts w:hint="eastAsia" w:ascii="Times New Roman" w:hAnsi="Times New Roman" w:eastAsia="宋体" w:cs="Times New Roman"/>
                <w:color w:val="auto"/>
                <w:sz w:val="21"/>
                <w:szCs w:val="21"/>
                <w:highlight w:val="none"/>
                <w:lang w:val="en-US" w:eastAsia="zh-CN" w:bidi="ar-SA"/>
              </w:rPr>
              <w:t>243</w:t>
            </w:r>
            <w:r>
              <w:rPr>
                <w:rFonts w:hint="default" w:ascii="Times New Roman" w:hAnsi="Times New Roman" w:eastAsia="宋体" w:cs="Times New Roman"/>
                <w:color w:val="auto"/>
                <w:sz w:val="21"/>
                <w:szCs w:val="21"/>
                <w:highlight w:val="none"/>
                <w:lang w:val="en-US" w:eastAsia="zh-CN" w:bidi="ar-SA"/>
              </w:rPr>
              <w:t>t/a</w:t>
            </w:r>
          </w:p>
        </w:tc>
        <w:tc>
          <w:tcPr>
            <w:tcW w:w="1308"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0.0</w:t>
            </w:r>
            <w:r>
              <w:rPr>
                <w:rFonts w:hint="eastAsia" w:ascii="Times New Roman" w:hAnsi="Times New Roman" w:eastAsia="宋体" w:cs="Times New Roman"/>
                <w:color w:val="auto"/>
                <w:sz w:val="21"/>
                <w:szCs w:val="21"/>
                <w:highlight w:val="none"/>
                <w:lang w:val="en-US" w:eastAsia="zh-CN" w:bidi="ar-SA"/>
              </w:rPr>
              <w:t>243</w:t>
            </w:r>
            <w:r>
              <w:rPr>
                <w:rFonts w:hint="default" w:ascii="Times New Roman" w:hAnsi="Times New Roman" w:eastAsia="宋体" w:cs="Times New Roman"/>
                <w:color w:val="auto"/>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restart"/>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一般工业固体废物</w:t>
            </w:r>
          </w:p>
        </w:tc>
        <w:tc>
          <w:tcPr>
            <w:tcW w:w="1275"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GB" w:eastAsia="zh-CN" w:bidi="ar-SA"/>
              </w:rPr>
              <w:t>废包装</w:t>
            </w:r>
            <w:r>
              <w:rPr>
                <w:rFonts w:hint="default" w:ascii="Times New Roman" w:hAnsi="Times New Roman" w:eastAsia="宋体" w:cs="Times New Roman"/>
                <w:color w:val="auto"/>
                <w:sz w:val="21"/>
                <w:szCs w:val="21"/>
                <w:highlight w:val="none"/>
                <w:lang w:val="en-US" w:eastAsia="zh-CN" w:bidi="ar-SA"/>
              </w:rPr>
              <w:t>物</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0.5t/a</w:t>
            </w:r>
          </w:p>
        </w:tc>
        <w:tc>
          <w:tcPr>
            <w:tcW w:w="1701"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pStyle w:val="60"/>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0.5t/a</w:t>
            </w:r>
          </w:p>
        </w:tc>
        <w:tc>
          <w:tcPr>
            <w:tcW w:w="1308" w:type="dxa"/>
            <w:vAlign w:val="center"/>
          </w:tcPr>
          <w:p>
            <w:pPr>
              <w:pStyle w:val="60"/>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w:t>
            </w:r>
            <w:r>
              <w:rPr>
                <w:rFonts w:hint="default" w:ascii="Times New Roman" w:hAnsi="Times New Roman" w:eastAsia="宋体" w:cs="Times New Roman"/>
                <w:color w:val="auto"/>
                <w:sz w:val="21"/>
                <w:szCs w:val="21"/>
                <w:highlight w:val="none"/>
                <w:lang w:val="en-US" w:eastAsia="zh-CN" w:bidi="ar-SA"/>
              </w:rPr>
              <w:t>边角料</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2t/a</w:t>
            </w:r>
          </w:p>
        </w:tc>
        <w:tc>
          <w:tcPr>
            <w:tcW w:w="1701"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pStyle w:val="60"/>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2t/a</w:t>
            </w:r>
          </w:p>
        </w:tc>
        <w:tc>
          <w:tcPr>
            <w:tcW w:w="1308" w:type="dxa"/>
            <w:vAlign w:val="center"/>
          </w:tcPr>
          <w:p>
            <w:pPr>
              <w:pStyle w:val="60"/>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废焊材、焊剂</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pStyle w:val="60"/>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1t/a</w:t>
            </w:r>
          </w:p>
        </w:tc>
        <w:tc>
          <w:tcPr>
            <w:tcW w:w="1308" w:type="dxa"/>
            <w:vAlign w:val="center"/>
          </w:tcPr>
          <w:p>
            <w:pPr>
              <w:pStyle w:val="60"/>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废金属屑</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1t/a</w:t>
            </w:r>
          </w:p>
        </w:tc>
        <w:tc>
          <w:tcPr>
            <w:tcW w:w="1308"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w:t>
            </w:r>
            <w:r>
              <w:rPr>
                <w:rFonts w:hint="eastAsia" w:ascii="Times New Roman" w:hAnsi="Times New Roman" w:eastAsia="宋体" w:cs="Times New Roman"/>
                <w:color w:val="auto"/>
                <w:sz w:val="21"/>
                <w:szCs w:val="21"/>
                <w:highlight w:val="none"/>
                <w:lang w:val="en-US" w:eastAsia="zh-CN" w:bidi="ar-SA"/>
              </w:rPr>
              <w:t>钢砂</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2t/a</w:t>
            </w:r>
          </w:p>
        </w:tc>
        <w:tc>
          <w:tcPr>
            <w:tcW w:w="1308"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收尘灰及废布袋</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w:t>
            </w:r>
            <w:r>
              <w:rPr>
                <w:rFonts w:hint="default" w:ascii="Times New Roman" w:hAnsi="Times New Roman" w:eastAsia="宋体" w:cs="Times New Roman"/>
                <w:color w:val="auto"/>
                <w:sz w:val="21"/>
                <w:szCs w:val="21"/>
                <w:highlight w:val="none"/>
                <w:lang w:val="en-US" w:eastAsia="zh-CN" w:bidi="ar-SA"/>
              </w:rPr>
              <w:t>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w:t>
            </w:r>
            <w:r>
              <w:rPr>
                <w:rFonts w:hint="default" w:ascii="Times New Roman" w:hAnsi="Times New Roman" w:eastAsia="宋体" w:cs="Times New Roman"/>
                <w:color w:val="auto"/>
                <w:sz w:val="21"/>
                <w:szCs w:val="21"/>
                <w:highlight w:val="none"/>
                <w:lang w:val="en-US" w:eastAsia="zh-CN" w:bidi="ar-SA"/>
              </w:rPr>
              <w:t>t/a</w:t>
            </w:r>
          </w:p>
        </w:tc>
        <w:tc>
          <w:tcPr>
            <w:tcW w:w="1308"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w:t>
            </w:r>
            <w:r>
              <w:rPr>
                <w:rFonts w:hint="default" w:ascii="Times New Roman" w:hAnsi="Times New Roman" w:eastAsia="宋体" w:cs="Times New Roman"/>
                <w:color w:val="auto"/>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废催化剂</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0.02t/a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0.02t/a</w:t>
            </w:r>
          </w:p>
        </w:tc>
        <w:tc>
          <w:tcPr>
            <w:tcW w:w="1308"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废气瓶</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p>
        </w:tc>
        <w:tc>
          <w:tcPr>
            <w:tcW w:w="1843" w:type="dxa"/>
            <w:vAlign w:val="center"/>
          </w:tcPr>
          <w:p>
            <w:pPr>
              <w:pStyle w:val="60"/>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bidi="ar-SA"/>
              </w:rPr>
            </w:pP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+30t/a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p>
        </w:tc>
        <w:tc>
          <w:tcPr>
            <w:tcW w:w="1984" w:type="dxa"/>
            <w:vAlign w:val="center"/>
          </w:tcPr>
          <w:p>
            <w:pPr>
              <w:jc w:val="center"/>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+30t/a</w:t>
            </w:r>
          </w:p>
        </w:tc>
        <w:tc>
          <w:tcPr>
            <w:tcW w:w="1308" w:type="dxa"/>
            <w:vAlign w:val="center"/>
          </w:tcPr>
          <w:p>
            <w:pPr>
              <w:jc w:val="center"/>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+30t/a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restart"/>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危险废物</w:t>
            </w:r>
          </w:p>
        </w:tc>
        <w:tc>
          <w:tcPr>
            <w:tcW w:w="1275"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废漆料桶</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w:t>
            </w:r>
            <w:r>
              <w:rPr>
                <w:rFonts w:hint="eastAsia" w:ascii="Times New Roman" w:hAnsi="Times New Roman" w:eastAsia="宋体" w:cs="Times New Roman"/>
                <w:color w:val="auto"/>
                <w:sz w:val="21"/>
                <w:szCs w:val="21"/>
                <w:highlight w:val="none"/>
                <w:lang w:val="en-US" w:eastAsia="zh-CN" w:bidi="ar-SA"/>
              </w:rPr>
              <w:t>2</w:t>
            </w:r>
            <w:r>
              <w:rPr>
                <w:rFonts w:hint="default" w:ascii="Times New Roman" w:hAnsi="Times New Roman" w:eastAsia="宋体" w:cs="Times New Roman"/>
                <w:color w:val="auto"/>
                <w:sz w:val="21"/>
                <w:szCs w:val="21"/>
                <w:highlight w:val="none"/>
                <w:lang w:val="en-US" w:eastAsia="zh-CN" w:bidi="ar-SA"/>
              </w:rPr>
              <w:t>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w:t>
            </w:r>
            <w:r>
              <w:rPr>
                <w:rFonts w:hint="eastAsia" w:ascii="Times New Roman" w:hAnsi="Times New Roman" w:eastAsia="宋体" w:cs="Times New Roman"/>
                <w:color w:val="auto"/>
                <w:sz w:val="21"/>
                <w:szCs w:val="21"/>
                <w:highlight w:val="none"/>
                <w:lang w:val="en-US" w:eastAsia="zh-CN" w:bidi="ar-SA"/>
              </w:rPr>
              <w:t>2</w:t>
            </w:r>
            <w:r>
              <w:rPr>
                <w:rFonts w:hint="default" w:ascii="Times New Roman" w:hAnsi="Times New Roman" w:eastAsia="宋体" w:cs="Times New Roman"/>
                <w:color w:val="auto"/>
                <w:sz w:val="21"/>
                <w:szCs w:val="21"/>
                <w:highlight w:val="none"/>
                <w:lang w:val="en-US" w:eastAsia="zh-CN" w:bidi="ar-SA"/>
              </w:rPr>
              <w:t>t/a</w:t>
            </w:r>
          </w:p>
        </w:tc>
        <w:tc>
          <w:tcPr>
            <w:tcW w:w="1308"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0.</w:t>
            </w:r>
            <w:r>
              <w:rPr>
                <w:rFonts w:hint="eastAsia" w:ascii="Times New Roman" w:hAnsi="Times New Roman" w:eastAsia="宋体" w:cs="Times New Roman"/>
                <w:color w:val="auto"/>
                <w:sz w:val="21"/>
                <w:szCs w:val="21"/>
                <w:highlight w:val="none"/>
                <w:lang w:val="en-US" w:eastAsia="zh-CN" w:bidi="ar-SA"/>
              </w:rPr>
              <w:t>2</w:t>
            </w:r>
            <w:r>
              <w:rPr>
                <w:rFonts w:hint="default" w:ascii="Times New Roman" w:hAnsi="Times New Roman" w:eastAsia="宋体" w:cs="Times New Roman"/>
                <w:color w:val="auto"/>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废油</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w:t>
            </w:r>
            <w:r>
              <w:rPr>
                <w:rFonts w:hint="eastAsia" w:cs="Times New Roman"/>
                <w:color w:val="auto"/>
                <w:sz w:val="21"/>
                <w:szCs w:val="21"/>
                <w:highlight w:val="none"/>
                <w:lang w:val="en-US" w:eastAsia="zh-CN" w:bidi="ar-SA"/>
              </w:rPr>
              <w:t>1</w:t>
            </w:r>
            <w:r>
              <w:rPr>
                <w:rFonts w:hint="default" w:ascii="Times New Roman" w:hAnsi="Times New Roman" w:eastAsia="宋体" w:cs="Times New Roman"/>
                <w:color w:val="auto"/>
                <w:sz w:val="21"/>
                <w:szCs w:val="21"/>
                <w:highlight w:val="none"/>
                <w:lang w:val="en-US" w:eastAsia="zh-CN" w:bidi="ar-SA"/>
              </w:rPr>
              <w:t>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w:t>
            </w:r>
            <w:r>
              <w:rPr>
                <w:rFonts w:hint="eastAsia" w:cs="Times New Roman"/>
                <w:color w:val="auto"/>
                <w:sz w:val="21"/>
                <w:szCs w:val="21"/>
                <w:highlight w:val="none"/>
                <w:lang w:val="en-US" w:eastAsia="zh-CN" w:bidi="ar-SA"/>
              </w:rPr>
              <w:t>1</w:t>
            </w:r>
            <w:r>
              <w:rPr>
                <w:rFonts w:hint="default" w:ascii="Times New Roman" w:hAnsi="Times New Roman" w:eastAsia="宋体" w:cs="Times New Roman"/>
                <w:color w:val="auto"/>
                <w:sz w:val="21"/>
                <w:szCs w:val="21"/>
                <w:highlight w:val="none"/>
                <w:lang w:val="en-US" w:eastAsia="zh-CN" w:bidi="ar-SA"/>
              </w:rPr>
              <w:t>t/a</w:t>
            </w:r>
          </w:p>
        </w:tc>
        <w:tc>
          <w:tcPr>
            <w:tcW w:w="1308"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w:t>
            </w:r>
            <w:r>
              <w:rPr>
                <w:rFonts w:hint="eastAsia" w:cs="Times New Roman"/>
                <w:color w:val="auto"/>
                <w:sz w:val="21"/>
                <w:szCs w:val="21"/>
                <w:highlight w:val="none"/>
                <w:lang w:val="en-US" w:eastAsia="zh-CN" w:bidi="ar-SA"/>
              </w:rPr>
              <w:t>1</w:t>
            </w:r>
            <w:r>
              <w:rPr>
                <w:rFonts w:hint="default" w:ascii="Times New Roman" w:hAnsi="Times New Roman" w:eastAsia="宋体" w:cs="Times New Roman"/>
                <w:color w:val="auto"/>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废油桶</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spacing w:line="0" w:lineRule="atLeast"/>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w:t>
            </w:r>
            <w:r>
              <w:rPr>
                <w:rFonts w:hint="eastAsia" w:cs="Times New Roman"/>
                <w:color w:val="auto"/>
                <w:sz w:val="21"/>
                <w:szCs w:val="21"/>
                <w:highlight w:val="none"/>
                <w:lang w:val="en-US" w:eastAsia="zh-CN" w:bidi="ar-SA"/>
              </w:rPr>
              <w:t>1</w:t>
            </w:r>
            <w:r>
              <w:rPr>
                <w:rFonts w:hint="default" w:ascii="Times New Roman" w:hAnsi="Times New Roman" w:eastAsia="宋体" w:cs="Times New Roman"/>
                <w:color w:val="auto"/>
                <w:sz w:val="21"/>
                <w:szCs w:val="21"/>
                <w:highlight w:val="none"/>
                <w:lang w:val="en-US" w:eastAsia="zh-CN" w:bidi="ar-SA"/>
              </w:rPr>
              <w:t>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spacing w:line="0" w:lineRule="atLeast"/>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w:t>
            </w:r>
            <w:r>
              <w:rPr>
                <w:rFonts w:hint="eastAsia" w:cs="Times New Roman"/>
                <w:color w:val="auto"/>
                <w:sz w:val="21"/>
                <w:szCs w:val="21"/>
                <w:highlight w:val="none"/>
                <w:lang w:val="en-US" w:eastAsia="zh-CN" w:bidi="ar-SA"/>
              </w:rPr>
              <w:t>1</w:t>
            </w:r>
            <w:r>
              <w:rPr>
                <w:rFonts w:hint="default" w:ascii="Times New Roman" w:hAnsi="Times New Roman" w:eastAsia="宋体" w:cs="Times New Roman"/>
                <w:color w:val="auto"/>
                <w:sz w:val="21"/>
                <w:szCs w:val="21"/>
                <w:highlight w:val="none"/>
                <w:lang w:val="en-US" w:eastAsia="zh-CN" w:bidi="ar-SA"/>
              </w:rPr>
              <w:t>t/a</w:t>
            </w:r>
          </w:p>
        </w:tc>
        <w:tc>
          <w:tcPr>
            <w:tcW w:w="1308" w:type="dxa"/>
            <w:vAlign w:val="center"/>
          </w:tcPr>
          <w:p>
            <w:pPr>
              <w:spacing w:line="0" w:lineRule="atLeast"/>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+0.</w:t>
            </w:r>
            <w:r>
              <w:rPr>
                <w:rFonts w:hint="eastAsia" w:cs="Times New Roman"/>
                <w:color w:val="auto"/>
                <w:sz w:val="21"/>
                <w:szCs w:val="21"/>
                <w:highlight w:val="none"/>
                <w:lang w:val="en-US" w:eastAsia="zh-CN" w:bidi="ar-SA"/>
              </w:rPr>
              <w:t>1</w:t>
            </w:r>
            <w:r>
              <w:rPr>
                <w:rFonts w:hint="default" w:ascii="Times New Roman" w:hAnsi="Times New Roman" w:eastAsia="宋体" w:cs="Times New Roman"/>
                <w:color w:val="auto"/>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废切削液</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3.15</w:t>
            </w:r>
            <w:r>
              <w:rPr>
                <w:rFonts w:hint="default" w:ascii="Times New Roman" w:hAnsi="Times New Roman" w:eastAsia="宋体" w:cs="Times New Roman"/>
                <w:color w:val="auto"/>
                <w:sz w:val="21"/>
                <w:szCs w:val="21"/>
                <w:highlight w:val="none"/>
                <w:lang w:val="en-US" w:eastAsia="zh-CN" w:bidi="ar-SA"/>
              </w:rPr>
              <w:t>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3.15</w:t>
            </w:r>
            <w:r>
              <w:rPr>
                <w:rFonts w:hint="default" w:ascii="Times New Roman" w:hAnsi="Times New Roman" w:eastAsia="宋体" w:cs="Times New Roman"/>
                <w:color w:val="auto"/>
                <w:sz w:val="21"/>
                <w:szCs w:val="21"/>
                <w:highlight w:val="none"/>
                <w:lang w:val="en-US" w:eastAsia="zh-CN" w:bidi="ar-SA"/>
              </w:rPr>
              <w:t>t/a</w:t>
            </w:r>
          </w:p>
        </w:tc>
        <w:tc>
          <w:tcPr>
            <w:tcW w:w="1308"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+3.15</w:t>
            </w:r>
            <w:r>
              <w:rPr>
                <w:rFonts w:hint="default" w:ascii="Times New Roman" w:hAnsi="Times New Roman" w:eastAsia="宋体" w:cs="Times New Roman"/>
                <w:color w:val="auto"/>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废过滤棉</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w:t>
            </w:r>
            <w:r>
              <w:rPr>
                <w:rFonts w:hint="default" w:ascii="Times New Roman" w:hAnsi="Times New Roman" w:eastAsia="宋体" w:cs="Times New Roman"/>
                <w:color w:val="auto"/>
                <w:sz w:val="21"/>
                <w:szCs w:val="21"/>
                <w:highlight w:val="none"/>
                <w:lang w:val="en-US" w:eastAsia="zh-CN" w:bidi="ar-SA"/>
              </w:rPr>
              <w:t>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w:t>
            </w:r>
            <w:r>
              <w:rPr>
                <w:rFonts w:hint="default" w:ascii="Times New Roman" w:hAnsi="Times New Roman" w:eastAsia="宋体" w:cs="Times New Roman"/>
                <w:color w:val="auto"/>
                <w:sz w:val="21"/>
                <w:szCs w:val="21"/>
                <w:highlight w:val="none"/>
                <w:lang w:val="en-US" w:eastAsia="zh-CN" w:bidi="ar-SA"/>
              </w:rPr>
              <w:t>t/a</w:t>
            </w:r>
          </w:p>
        </w:tc>
        <w:tc>
          <w:tcPr>
            <w:tcW w:w="1308"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2</w:t>
            </w:r>
            <w:r>
              <w:rPr>
                <w:rFonts w:hint="default" w:ascii="Times New Roman" w:hAnsi="Times New Roman" w:eastAsia="宋体" w:cs="Times New Roman"/>
                <w:color w:val="auto"/>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废</w:t>
            </w:r>
            <w:r>
              <w:rPr>
                <w:rFonts w:hint="default" w:ascii="Times New Roman" w:hAnsi="Times New Roman" w:eastAsia="宋体" w:cs="Times New Roman"/>
                <w:color w:val="auto"/>
                <w:sz w:val="21"/>
                <w:szCs w:val="21"/>
                <w:highlight w:val="none"/>
                <w:lang w:val="en-US" w:eastAsia="zh-CN" w:bidi="ar-SA"/>
              </w:rPr>
              <w:t>沾染布及手套</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w:t>
            </w:r>
            <w:r>
              <w:rPr>
                <w:rFonts w:hint="eastAsia" w:ascii="Times New Roman" w:hAnsi="Times New Roman" w:eastAsia="宋体" w:cs="Times New Roman"/>
                <w:color w:val="auto"/>
                <w:sz w:val="21"/>
                <w:szCs w:val="21"/>
                <w:highlight w:val="none"/>
                <w:lang w:val="en-US" w:eastAsia="zh-CN" w:bidi="ar-SA"/>
              </w:rPr>
              <w:t>5</w:t>
            </w:r>
            <w:r>
              <w:rPr>
                <w:rFonts w:hint="default" w:ascii="Times New Roman" w:hAnsi="Times New Roman" w:eastAsia="宋体" w:cs="Times New Roman"/>
                <w:color w:val="auto"/>
                <w:sz w:val="21"/>
                <w:szCs w:val="21"/>
                <w:highlight w:val="none"/>
                <w:lang w:val="en-US" w:eastAsia="zh-CN" w:bidi="ar-SA"/>
              </w:rPr>
              <w:t>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0.</w:t>
            </w:r>
            <w:r>
              <w:rPr>
                <w:rFonts w:hint="eastAsia" w:ascii="Times New Roman" w:hAnsi="Times New Roman" w:eastAsia="宋体" w:cs="Times New Roman"/>
                <w:color w:val="auto"/>
                <w:sz w:val="21"/>
                <w:szCs w:val="21"/>
                <w:highlight w:val="none"/>
                <w:lang w:val="en-US" w:eastAsia="zh-CN" w:bidi="ar-SA"/>
              </w:rPr>
              <w:t>5</w:t>
            </w:r>
            <w:r>
              <w:rPr>
                <w:rFonts w:hint="default" w:ascii="Times New Roman" w:hAnsi="Times New Roman" w:eastAsia="宋体" w:cs="Times New Roman"/>
                <w:color w:val="auto"/>
                <w:sz w:val="21"/>
                <w:szCs w:val="21"/>
                <w:highlight w:val="none"/>
                <w:lang w:val="en-US" w:eastAsia="zh-CN" w:bidi="ar-SA"/>
              </w:rPr>
              <w:t>t/a</w:t>
            </w:r>
          </w:p>
        </w:tc>
        <w:tc>
          <w:tcPr>
            <w:tcW w:w="1308"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bidi="ar-SA"/>
              </w:rPr>
              <w:t>0.</w:t>
            </w:r>
            <w:r>
              <w:rPr>
                <w:rFonts w:hint="eastAsia" w:ascii="Times New Roman" w:hAnsi="Times New Roman" w:eastAsia="宋体" w:cs="Times New Roman"/>
                <w:color w:val="auto"/>
                <w:sz w:val="21"/>
                <w:szCs w:val="21"/>
                <w:highlight w:val="none"/>
                <w:lang w:val="en-US" w:eastAsia="zh-CN" w:bidi="ar-SA"/>
              </w:rPr>
              <w:t>5</w:t>
            </w:r>
            <w:r>
              <w:rPr>
                <w:rFonts w:hint="default" w:ascii="Times New Roman" w:hAnsi="Times New Roman" w:eastAsia="宋体" w:cs="Times New Roman"/>
                <w:color w:val="auto"/>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废地毡</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w:t>
            </w:r>
            <w:r>
              <w:rPr>
                <w:rFonts w:hint="default" w:ascii="Times New Roman" w:hAnsi="Times New Roman" w:eastAsia="宋体" w:cs="Times New Roman"/>
                <w:color w:val="auto"/>
                <w:sz w:val="21"/>
                <w:szCs w:val="21"/>
                <w:highlight w:val="none"/>
                <w:lang w:val="en-US" w:eastAsia="zh-CN" w:bidi="ar-SA"/>
              </w:rPr>
              <w:t>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2</w:t>
            </w:r>
            <w:r>
              <w:rPr>
                <w:rFonts w:hint="default" w:ascii="Times New Roman" w:hAnsi="Times New Roman" w:eastAsia="宋体" w:cs="Times New Roman"/>
                <w:color w:val="auto"/>
                <w:sz w:val="21"/>
                <w:szCs w:val="21"/>
                <w:highlight w:val="none"/>
                <w:lang w:val="en-US" w:eastAsia="zh-CN" w:bidi="ar-SA"/>
              </w:rPr>
              <w:t>t/a</w:t>
            </w:r>
          </w:p>
        </w:tc>
        <w:tc>
          <w:tcPr>
            <w:tcW w:w="1308" w:type="dxa"/>
            <w:vAlign w:val="center"/>
          </w:tcPr>
          <w:p>
            <w:pPr>
              <w:spacing w:line="0" w:lineRule="atLeast"/>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2</w:t>
            </w:r>
            <w:r>
              <w:rPr>
                <w:rFonts w:hint="default" w:ascii="Times New Roman" w:hAnsi="Times New Roman" w:eastAsia="宋体" w:cs="Times New Roman"/>
                <w:color w:val="auto"/>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废活性炭</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1.5</w:t>
            </w:r>
            <w:r>
              <w:rPr>
                <w:rFonts w:hint="default" w:ascii="Times New Roman" w:hAnsi="Times New Roman" w:eastAsia="宋体" w:cs="Times New Roman"/>
                <w:color w:val="auto"/>
                <w:sz w:val="21"/>
                <w:szCs w:val="21"/>
                <w:highlight w:val="none"/>
                <w:lang w:val="en-US" w:eastAsia="zh-CN" w:bidi="ar-SA"/>
              </w:rPr>
              <w:t>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1.5</w:t>
            </w:r>
            <w:r>
              <w:rPr>
                <w:rFonts w:hint="default" w:ascii="Times New Roman" w:hAnsi="Times New Roman" w:eastAsia="宋体" w:cs="Times New Roman"/>
                <w:color w:val="auto"/>
                <w:sz w:val="21"/>
                <w:szCs w:val="21"/>
                <w:highlight w:val="none"/>
                <w:lang w:val="en-US" w:eastAsia="zh-CN" w:bidi="ar-SA"/>
              </w:rPr>
              <w:t>t/a</w:t>
            </w:r>
          </w:p>
        </w:tc>
        <w:tc>
          <w:tcPr>
            <w:tcW w:w="1308"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+1.5</w:t>
            </w:r>
            <w:r>
              <w:rPr>
                <w:rFonts w:hint="default" w:ascii="Times New Roman" w:hAnsi="Times New Roman" w:eastAsia="宋体" w:cs="Times New Roman"/>
                <w:color w:val="auto"/>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废漆渣</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6</w:t>
            </w:r>
            <w:r>
              <w:rPr>
                <w:rFonts w:hint="default" w:ascii="Times New Roman" w:hAnsi="Times New Roman" w:eastAsia="宋体" w:cs="Times New Roman"/>
                <w:color w:val="auto"/>
                <w:sz w:val="21"/>
                <w:szCs w:val="21"/>
                <w:highlight w:val="none"/>
                <w:lang w:val="en-US" w:eastAsia="zh-CN" w:bidi="ar-SA"/>
              </w:rPr>
              <w:t>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6</w:t>
            </w:r>
            <w:r>
              <w:rPr>
                <w:rFonts w:hint="default" w:ascii="Times New Roman" w:hAnsi="Times New Roman" w:eastAsia="宋体" w:cs="Times New Roman"/>
                <w:color w:val="auto"/>
                <w:sz w:val="21"/>
                <w:szCs w:val="21"/>
                <w:highlight w:val="none"/>
                <w:lang w:val="en-US" w:eastAsia="zh-CN" w:bidi="ar-SA"/>
              </w:rPr>
              <w:t>t/a</w:t>
            </w:r>
          </w:p>
        </w:tc>
        <w:tc>
          <w:tcPr>
            <w:tcW w:w="1308"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6</w:t>
            </w:r>
            <w:r>
              <w:rPr>
                <w:rFonts w:hint="default" w:ascii="Times New Roman" w:hAnsi="Times New Roman" w:eastAsia="宋体" w:cs="Times New Roman"/>
                <w:color w:val="auto"/>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Merge w:val="continue"/>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p>
        </w:tc>
        <w:tc>
          <w:tcPr>
            <w:tcW w:w="1275" w:type="dxa"/>
            <w:vAlign w:val="center"/>
          </w:tcPr>
          <w:p>
            <w:pPr>
              <w:spacing w:line="0" w:lineRule="atLeast"/>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水帘废水</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spacing w:line="0" w:lineRule="atLeast"/>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8</w:t>
            </w:r>
            <w:r>
              <w:rPr>
                <w:rFonts w:hint="default" w:ascii="Times New Roman" w:hAnsi="Times New Roman" w:eastAsia="宋体" w:cs="Times New Roman"/>
                <w:color w:val="auto"/>
                <w:sz w:val="21"/>
                <w:szCs w:val="21"/>
                <w:highlight w:val="none"/>
                <w:lang w:val="en-US" w:eastAsia="zh-CN" w:bidi="ar-SA"/>
              </w:rPr>
              <w:t>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spacing w:line="0" w:lineRule="atLeast"/>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8</w:t>
            </w:r>
            <w:r>
              <w:rPr>
                <w:rFonts w:hint="default" w:ascii="Times New Roman" w:hAnsi="Times New Roman" w:eastAsia="宋体" w:cs="Times New Roman"/>
                <w:color w:val="auto"/>
                <w:sz w:val="21"/>
                <w:szCs w:val="21"/>
                <w:highlight w:val="none"/>
                <w:lang w:val="en-US" w:eastAsia="zh-CN" w:bidi="ar-SA"/>
              </w:rPr>
              <w:t>t/a</w:t>
            </w:r>
          </w:p>
        </w:tc>
        <w:tc>
          <w:tcPr>
            <w:tcW w:w="1308" w:type="dxa"/>
            <w:vAlign w:val="center"/>
          </w:tcPr>
          <w:p>
            <w:pPr>
              <w:spacing w:line="0" w:lineRule="atLeast"/>
              <w:jc w:val="center"/>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+8</w:t>
            </w:r>
            <w:r>
              <w:rPr>
                <w:rFonts w:hint="default" w:ascii="Times New Roman" w:hAnsi="Times New Roman" w:eastAsia="宋体" w:cs="Times New Roman"/>
                <w:color w:val="auto"/>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生活垃圾</w:t>
            </w:r>
          </w:p>
        </w:tc>
        <w:tc>
          <w:tcPr>
            <w:tcW w:w="1275"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生活垃圾</w:t>
            </w:r>
          </w:p>
        </w:tc>
        <w:tc>
          <w:tcPr>
            <w:tcW w:w="1843"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134"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843"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701" w:type="dxa"/>
            <w:vAlign w:val="center"/>
          </w:tcPr>
          <w:p>
            <w:pPr>
              <w:pStyle w:val="60"/>
              <w:spacing w:beforeLines="0" w:afterLines="0" w:line="240" w:lineRule="auto"/>
              <w:ind w:firstLine="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9</w:t>
            </w:r>
            <w:r>
              <w:rPr>
                <w:rFonts w:hint="default" w:ascii="Times New Roman" w:hAnsi="Times New Roman" w:eastAsia="宋体" w:cs="Times New Roman"/>
                <w:color w:val="auto"/>
                <w:sz w:val="21"/>
                <w:szCs w:val="21"/>
                <w:highlight w:val="none"/>
                <w:lang w:val="en-US" w:eastAsia="zh-CN" w:bidi="ar-SA"/>
              </w:rPr>
              <w:t>t/a</w:t>
            </w:r>
          </w:p>
        </w:tc>
        <w:tc>
          <w:tcPr>
            <w:tcW w:w="1701" w:type="dxa"/>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bidi="ar-SA"/>
              </w:rPr>
              <w:t>/</w:t>
            </w:r>
          </w:p>
        </w:tc>
        <w:tc>
          <w:tcPr>
            <w:tcW w:w="1984" w:type="dxa"/>
            <w:vAlign w:val="center"/>
          </w:tcPr>
          <w:p>
            <w:pPr>
              <w:pStyle w:val="60"/>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9</w:t>
            </w:r>
            <w:r>
              <w:rPr>
                <w:rFonts w:hint="default" w:ascii="Times New Roman" w:hAnsi="Times New Roman" w:eastAsia="宋体" w:cs="Times New Roman"/>
                <w:color w:val="auto"/>
                <w:sz w:val="21"/>
                <w:szCs w:val="21"/>
                <w:highlight w:val="none"/>
                <w:lang w:val="en-US" w:eastAsia="zh-CN" w:bidi="ar-SA"/>
              </w:rPr>
              <w:t>t/a</w:t>
            </w:r>
          </w:p>
        </w:tc>
        <w:tc>
          <w:tcPr>
            <w:tcW w:w="1308" w:type="dxa"/>
            <w:vAlign w:val="center"/>
          </w:tcPr>
          <w:p>
            <w:pPr>
              <w:pStyle w:val="60"/>
              <w:spacing w:beforeLines="0" w:afterLines="0" w:line="240" w:lineRule="auto"/>
              <w:ind w:firstLine="0" w:firstLineChars="0"/>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+9</w:t>
            </w:r>
            <w:r>
              <w:rPr>
                <w:rFonts w:hint="default" w:ascii="Times New Roman" w:hAnsi="Times New Roman" w:eastAsia="宋体" w:cs="Times New Roman"/>
                <w:color w:val="auto"/>
                <w:sz w:val="21"/>
                <w:szCs w:val="21"/>
                <w:highlight w:val="none"/>
                <w:lang w:val="en-US" w:eastAsia="zh-CN" w:bidi="ar-SA"/>
              </w:rPr>
              <w:t>t/a</w:t>
            </w:r>
          </w:p>
        </w:tc>
      </w:tr>
    </w:tbl>
    <w:p>
      <w:pPr>
        <w:pStyle w:val="60"/>
        <w:spacing w:before="192" w:beforeLines="80" w:after="24"/>
        <w:jc w:val="left"/>
        <w:rPr>
          <w:rFonts w:hint="default" w:ascii="Times New Roman" w:hAnsi="Times New Roman" w:cs="Times New Roman"/>
          <w:snapToGrid w:val="0"/>
          <w:color w:val="auto"/>
          <w:spacing w:val="-6"/>
          <w:kern w:val="21"/>
          <w:szCs w:val="21"/>
          <w:highlight w:val="none"/>
        </w:r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pPr>
        <w:rPr>
          <w:color w:val="auto"/>
          <w:highlight w:val="none"/>
        </w:rPr>
      </w:pPr>
    </w:p>
    <w:sectPr>
      <w:footerReference r:id="rId4"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ingLiU">
    <w:altName w:val="PMingLiU-ExtB"/>
    <w:panose1 w:val="02010609000101010101"/>
    <w:charset w:val="88"/>
    <w:family w:val="modern"/>
    <w:pitch w:val="default"/>
    <w:sig w:usb0="00000000" w:usb1="00000000" w:usb2="00000016" w:usb3="00000000" w:csb0="00100001"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59</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D23895"/>
    <w:multiLevelType w:val="singleLevel"/>
    <w:tmpl w:val="BAD23895"/>
    <w:lvl w:ilvl="0" w:tentative="0">
      <w:start w:val="1"/>
      <w:numFmt w:val="decimal"/>
      <w:suff w:val="nothing"/>
      <w:lvlText w:val="%1、"/>
      <w:lvlJc w:val="left"/>
    </w:lvl>
  </w:abstractNum>
  <w:abstractNum w:abstractNumId="1">
    <w:nsid w:val="BED8959E"/>
    <w:multiLevelType w:val="singleLevel"/>
    <w:tmpl w:val="BED8959E"/>
    <w:lvl w:ilvl="0" w:tentative="0">
      <w:start w:val="1"/>
      <w:numFmt w:val="decimal"/>
      <w:suff w:val="nothing"/>
      <w:lvlText w:val="（%1）"/>
      <w:lvlJc w:val="left"/>
    </w:lvl>
  </w:abstractNum>
  <w:abstractNum w:abstractNumId="2">
    <w:nsid w:val="D0A4A5AA"/>
    <w:multiLevelType w:val="singleLevel"/>
    <w:tmpl w:val="D0A4A5AA"/>
    <w:lvl w:ilvl="0" w:tentative="0">
      <w:start w:val="1"/>
      <w:numFmt w:val="decimal"/>
      <w:suff w:val="nothing"/>
      <w:lvlText w:val="（%1）"/>
      <w:lvlJc w:val="left"/>
    </w:lvl>
  </w:abstractNum>
  <w:abstractNum w:abstractNumId="3">
    <w:nsid w:val="1D53F053"/>
    <w:multiLevelType w:val="singleLevel"/>
    <w:tmpl w:val="1D53F053"/>
    <w:lvl w:ilvl="0" w:tentative="0">
      <w:start w:val="1"/>
      <w:numFmt w:val="decimal"/>
      <w:lvlText w:val="%1."/>
      <w:lvlJc w:val="left"/>
      <w:pPr>
        <w:tabs>
          <w:tab w:val="left" w:pos="312"/>
        </w:tabs>
      </w:pPr>
    </w:lvl>
  </w:abstractNum>
  <w:abstractNum w:abstractNumId="4">
    <w:nsid w:val="1DC956EF"/>
    <w:multiLevelType w:val="multilevel"/>
    <w:tmpl w:val="1DC956EF"/>
    <w:lvl w:ilvl="0" w:tentative="0">
      <w:start w:val="1"/>
      <w:numFmt w:val="decimal"/>
      <w:pStyle w:val="112"/>
      <w:lvlText w:val="图%1 "/>
      <w:lvlJc w:val="left"/>
      <w:pPr>
        <w:ind w:left="900" w:hanging="420"/>
      </w:pPr>
      <w:rPr>
        <w:rFonts w:hint="eastAsia"/>
        <w:lang w:val="en-US"/>
      </w:rPr>
    </w:lvl>
    <w:lvl w:ilvl="1" w:tentative="0">
      <w:start w:val="1"/>
      <w:numFmt w:val="decimal"/>
      <w:lvlText w:val="%2、"/>
      <w:lvlJc w:val="left"/>
      <w:pPr>
        <w:ind w:left="502" w:hanging="360"/>
      </w:pPr>
      <w:rPr>
        <w:rFonts w:hint="default"/>
      </w:rPr>
    </w:lvl>
    <w:lvl w:ilvl="2" w:tentative="0">
      <w:start w:val="1"/>
      <w:numFmt w:val="decimalEnclosedCircle"/>
      <w:lvlText w:val="%3"/>
      <w:lvlJc w:val="left"/>
      <w:pPr>
        <w:ind w:left="1680" w:hanging="36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31255429"/>
    <w:multiLevelType w:val="singleLevel"/>
    <w:tmpl w:val="31255429"/>
    <w:lvl w:ilvl="0" w:tentative="0">
      <w:start w:val="1"/>
      <w:numFmt w:val="decimal"/>
      <w:suff w:val="nothing"/>
      <w:lvlText w:val="%1、"/>
      <w:lvlJc w:val="left"/>
    </w:lvl>
  </w:abstractNum>
  <w:abstractNum w:abstractNumId="6">
    <w:nsid w:val="36970A70"/>
    <w:multiLevelType w:val="multilevel"/>
    <w:tmpl w:val="36970A70"/>
    <w:lvl w:ilvl="0" w:tentative="0">
      <w:start w:val="1"/>
      <w:numFmt w:val="decimal"/>
      <w:pStyle w:val="109"/>
      <w:lvlText w:val="表%1 "/>
      <w:lvlJc w:val="left"/>
      <w:pPr>
        <w:ind w:left="4105" w:hanging="420"/>
      </w:pPr>
      <w:rPr>
        <w:rFonts w:hint="default" w:ascii="Times New Roman" w:hAnsi="Times New Roman" w:cs="Times New Roman"/>
        <w:b w:val="0"/>
        <w:bCs w:val="0"/>
        <w:i w:val="0"/>
        <w:iCs w:val="0"/>
        <w:caps w:val="0"/>
        <w:smallCaps w:val="0"/>
        <w:strike w:val="0"/>
        <w:dstrike w:val="0"/>
        <w:vanish w:val="0"/>
        <w:color w:val="000000"/>
        <w:spacing w:val="0"/>
        <w:position w:val="0"/>
        <w:sz w:val="24"/>
        <w:u w:val="none"/>
        <w:vertAlign w:val="baseline"/>
        <w:lang w:val="en-US"/>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1EDAE14"/>
    <w:multiLevelType w:val="singleLevel"/>
    <w:tmpl w:val="71EDAE14"/>
    <w:lvl w:ilvl="0" w:tentative="0">
      <w:start w:val="5"/>
      <w:numFmt w:val="decimal"/>
      <w:suff w:val="nothing"/>
      <w:lvlText w:val="%1、"/>
      <w:lvlJc w:val="left"/>
    </w:lvl>
  </w:abstractNum>
  <w:abstractNum w:abstractNumId="8">
    <w:nsid w:val="7349017E"/>
    <w:multiLevelType w:val="multilevel"/>
    <w:tmpl w:val="7349017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777AC355"/>
    <w:multiLevelType w:val="singleLevel"/>
    <w:tmpl w:val="777AC355"/>
    <w:lvl w:ilvl="0" w:tentative="0">
      <w:start w:val="1"/>
      <w:numFmt w:val="decimal"/>
      <w:suff w:val="nothing"/>
      <w:lvlText w:val="%1、"/>
      <w:lvlJc w:val="left"/>
    </w:lvl>
  </w:abstractNum>
  <w:num w:numId="1">
    <w:abstractNumId w:val="6"/>
  </w:num>
  <w:num w:numId="2">
    <w:abstractNumId w:val="4"/>
  </w:num>
  <w:num w:numId="3">
    <w:abstractNumId w:val="5"/>
  </w:num>
  <w:num w:numId="4">
    <w:abstractNumId w:val="0"/>
  </w:num>
  <w:num w:numId="5">
    <w:abstractNumId w:val="9"/>
  </w:num>
  <w:num w:numId="6">
    <w:abstractNumId w:val="7"/>
  </w:num>
  <w:num w:numId="7">
    <w:abstractNumId w:val="2"/>
  </w:num>
  <w:num w:numId="8">
    <w:abstractNumId w:val="8"/>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displayBackgroundShape w:val="1"/>
  <w:bordersDoNotSurroundHeader w:val="0"/>
  <w:bordersDoNotSurroundFooter w:val="0"/>
  <w:hideSpellingErrors/>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VhMjk2ZjExMjEwY2RkNTkyOGJhYzdkY2E4MzM3NTMifQ=="/>
  </w:docVars>
  <w:rsids>
    <w:rsidRoot w:val="00172A27"/>
    <w:rsid w:val="00001098"/>
    <w:rsid w:val="00001DA2"/>
    <w:rsid w:val="000060B3"/>
    <w:rsid w:val="00012958"/>
    <w:rsid w:val="00012D1B"/>
    <w:rsid w:val="00012E1C"/>
    <w:rsid w:val="00013AC4"/>
    <w:rsid w:val="00015AFD"/>
    <w:rsid w:val="00021944"/>
    <w:rsid w:val="000306DB"/>
    <w:rsid w:val="000326A0"/>
    <w:rsid w:val="000346BB"/>
    <w:rsid w:val="000365DC"/>
    <w:rsid w:val="0004364B"/>
    <w:rsid w:val="00043DCB"/>
    <w:rsid w:val="00044B20"/>
    <w:rsid w:val="00047900"/>
    <w:rsid w:val="000512E8"/>
    <w:rsid w:val="00056E9F"/>
    <w:rsid w:val="000611DF"/>
    <w:rsid w:val="00061707"/>
    <w:rsid w:val="00061B1F"/>
    <w:rsid w:val="0006443D"/>
    <w:rsid w:val="00070AD3"/>
    <w:rsid w:val="000733C4"/>
    <w:rsid w:val="00073B3A"/>
    <w:rsid w:val="00074783"/>
    <w:rsid w:val="00076C09"/>
    <w:rsid w:val="0008070B"/>
    <w:rsid w:val="000810AC"/>
    <w:rsid w:val="00081A02"/>
    <w:rsid w:val="00082231"/>
    <w:rsid w:val="00085A7A"/>
    <w:rsid w:val="00085F57"/>
    <w:rsid w:val="00092D38"/>
    <w:rsid w:val="0009377B"/>
    <w:rsid w:val="000A0287"/>
    <w:rsid w:val="000A20C9"/>
    <w:rsid w:val="000B0230"/>
    <w:rsid w:val="000B058F"/>
    <w:rsid w:val="000B4467"/>
    <w:rsid w:val="000B4DB9"/>
    <w:rsid w:val="000C09AC"/>
    <w:rsid w:val="000C767F"/>
    <w:rsid w:val="000D5A44"/>
    <w:rsid w:val="000E3ED2"/>
    <w:rsid w:val="000E6645"/>
    <w:rsid w:val="000E7B1F"/>
    <w:rsid w:val="000F17DE"/>
    <w:rsid w:val="000F2CD6"/>
    <w:rsid w:val="000F55E6"/>
    <w:rsid w:val="000F67E0"/>
    <w:rsid w:val="00101015"/>
    <w:rsid w:val="00102674"/>
    <w:rsid w:val="00104631"/>
    <w:rsid w:val="001062CA"/>
    <w:rsid w:val="0010635A"/>
    <w:rsid w:val="00110010"/>
    <w:rsid w:val="00111D64"/>
    <w:rsid w:val="00112542"/>
    <w:rsid w:val="00112BC8"/>
    <w:rsid w:val="00114193"/>
    <w:rsid w:val="00115ABD"/>
    <w:rsid w:val="0012111D"/>
    <w:rsid w:val="00123C7B"/>
    <w:rsid w:val="001254E2"/>
    <w:rsid w:val="00126B2E"/>
    <w:rsid w:val="00131F42"/>
    <w:rsid w:val="001344BB"/>
    <w:rsid w:val="001357F1"/>
    <w:rsid w:val="00140FA8"/>
    <w:rsid w:val="00142FEB"/>
    <w:rsid w:val="00143A2D"/>
    <w:rsid w:val="00144068"/>
    <w:rsid w:val="00145A41"/>
    <w:rsid w:val="00150E76"/>
    <w:rsid w:val="00151675"/>
    <w:rsid w:val="00151BE6"/>
    <w:rsid w:val="00154172"/>
    <w:rsid w:val="00157435"/>
    <w:rsid w:val="0016134D"/>
    <w:rsid w:val="00161836"/>
    <w:rsid w:val="00161C29"/>
    <w:rsid w:val="00166962"/>
    <w:rsid w:val="00166D1A"/>
    <w:rsid w:val="00166E54"/>
    <w:rsid w:val="00172A27"/>
    <w:rsid w:val="00172E78"/>
    <w:rsid w:val="0017504D"/>
    <w:rsid w:val="0017671A"/>
    <w:rsid w:val="00177422"/>
    <w:rsid w:val="0018244C"/>
    <w:rsid w:val="00184590"/>
    <w:rsid w:val="001870D1"/>
    <w:rsid w:val="0018781E"/>
    <w:rsid w:val="00190016"/>
    <w:rsid w:val="0019262D"/>
    <w:rsid w:val="00192C31"/>
    <w:rsid w:val="001945DD"/>
    <w:rsid w:val="001950E1"/>
    <w:rsid w:val="001A166F"/>
    <w:rsid w:val="001A1B35"/>
    <w:rsid w:val="001A2ECC"/>
    <w:rsid w:val="001A48A2"/>
    <w:rsid w:val="001A6F61"/>
    <w:rsid w:val="001A7BBC"/>
    <w:rsid w:val="001B1509"/>
    <w:rsid w:val="001B60E4"/>
    <w:rsid w:val="001B72B8"/>
    <w:rsid w:val="001C4F27"/>
    <w:rsid w:val="001C66E0"/>
    <w:rsid w:val="001C69B3"/>
    <w:rsid w:val="001C7A6A"/>
    <w:rsid w:val="001D215C"/>
    <w:rsid w:val="001D5595"/>
    <w:rsid w:val="001D5E13"/>
    <w:rsid w:val="001D7874"/>
    <w:rsid w:val="001D7F22"/>
    <w:rsid w:val="001E2101"/>
    <w:rsid w:val="001E258A"/>
    <w:rsid w:val="001E7ACE"/>
    <w:rsid w:val="001F0F17"/>
    <w:rsid w:val="001F2C42"/>
    <w:rsid w:val="001F3075"/>
    <w:rsid w:val="001F3347"/>
    <w:rsid w:val="001F62FF"/>
    <w:rsid w:val="001F64D8"/>
    <w:rsid w:val="001F69E4"/>
    <w:rsid w:val="00201961"/>
    <w:rsid w:val="00204AE1"/>
    <w:rsid w:val="002125B4"/>
    <w:rsid w:val="002155B8"/>
    <w:rsid w:val="0021721E"/>
    <w:rsid w:val="00220064"/>
    <w:rsid w:val="0022181C"/>
    <w:rsid w:val="002231DC"/>
    <w:rsid w:val="002235CA"/>
    <w:rsid w:val="00223D3C"/>
    <w:rsid w:val="00224839"/>
    <w:rsid w:val="002249B2"/>
    <w:rsid w:val="00226574"/>
    <w:rsid w:val="002278EC"/>
    <w:rsid w:val="00230094"/>
    <w:rsid w:val="00231150"/>
    <w:rsid w:val="00231790"/>
    <w:rsid w:val="00232198"/>
    <w:rsid w:val="0023280E"/>
    <w:rsid w:val="00232B64"/>
    <w:rsid w:val="00232C56"/>
    <w:rsid w:val="002377D1"/>
    <w:rsid w:val="002506BC"/>
    <w:rsid w:val="00251E63"/>
    <w:rsid w:val="00254345"/>
    <w:rsid w:val="00254883"/>
    <w:rsid w:val="00257654"/>
    <w:rsid w:val="0026130D"/>
    <w:rsid w:val="00262549"/>
    <w:rsid w:val="00264557"/>
    <w:rsid w:val="0026735A"/>
    <w:rsid w:val="00271950"/>
    <w:rsid w:val="0027694E"/>
    <w:rsid w:val="002805AB"/>
    <w:rsid w:val="002805CC"/>
    <w:rsid w:val="00282057"/>
    <w:rsid w:val="00284204"/>
    <w:rsid w:val="00284CE1"/>
    <w:rsid w:val="00291773"/>
    <w:rsid w:val="0029299E"/>
    <w:rsid w:val="002A168C"/>
    <w:rsid w:val="002A205D"/>
    <w:rsid w:val="002A3DC7"/>
    <w:rsid w:val="002A4A7B"/>
    <w:rsid w:val="002B24E3"/>
    <w:rsid w:val="002B2790"/>
    <w:rsid w:val="002B3125"/>
    <w:rsid w:val="002B49E2"/>
    <w:rsid w:val="002B7B00"/>
    <w:rsid w:val="002B7C44"/>
    <w:rsid w:val="002C2B17"/>
    <w:rsid w:val="002D0AFA"/>
    <w:rsid w:val="002D2E09"/>
    <w:rsid w:val="002D3D42"/>
    <w:rsid w:val="002D3DD0"/>
    <w:rsid w:val="002E0A62"/>
    <w:rsid w:val="002E19F3"/>
    <w:rsid w:val="002E1F3A"/>
    <w:rsid w:val="002E298A"/>
    <w:rsid w:val="002E67A4"/>
    <w:rsid w:val="002E7899"/>
    <w:rsid w:val="002F54FF"/>
    <w:rsid w:val="002F5EBD"/>
    <w:rsid w:val="0030176F"/>
    <w:rsid w:val="00301978"/>
    <w:rsid w:val="0030332C"/>
    <w:rsid w:val="003051C2"/>
    <w:rsid w:val="00305A9E"/>
    <w:rsid w:val="00306265"/>
    <w:rsid w:val="00306FCC"/>
    <w:rsid w:val="00312296"/>
    <w:rsid w:val="003136FA"/>
    <w:rsid w:val="00314F0E"/>
    <w:rsid w:val="003212D6"/>
    <w:rsid w:val="003214CD"/>
    <w:rsid w:val="00321D8E"/>
    <w:rsid w:val="00325928"/>
    <w:rsid w:val="00325DE9"/>
    <w:rsid w:val="00326F9D"/>
    <w:rsid w:val="0033126E"/>
    <w:rsid w:val="00332863"/>
    <w:rsid w:val="00333A37"/>
    <w:rsid w:val="003367D8"/>
    <w:rsid w:val="0033684D"/>
    <w:rsid w:val="00337B42"/>
    <w:rsid w:val="00341B42"/>
    <w:rsid w:val="00343310"/>
    <w:rsid w:val="0034348F"/>
    <w:rsid w:val="00350197"/>
    <w:rsid w:val="00352260"/>
    <w:rsid w:val="00356653"/>
    <w:rsid w:val="00356CAE"/>
    <w:rsid w:val="0035743F"/>
    <w:rsid w:val="00357BE2"/>
    <w:rsid w:val="0036170C"/>
    <w:rsid w:val="00362131"/>
    <w:rsid w:val="003628AE"/>
    <w:rsid w:val="00362A5D"/>
    <w:rsid w:val="00363216"/>
    <w:rsid w:val="00366036"/>
    <w:rsid w:val="0036614F"/>
    <w:rsid w:val="00366E0F"/>
    <w:rsid w:val="00376FDF"/>
    <w:rsid w:val="00380D68"/>
    <w:rsid w:val="00381A72"/>
    <w:rsid w:val="00382DEE"/>
    <w:rsid w:val="003838C0"/>
    <w:rsid w:val="00384676"/>
    <w:rsid w:val="00385CDC"/>
    <w:rsid w:val="00390857"/>
    <w:rsid w:val="00393140"/>
    <w:rsid w:val="003A4BF3"/>
    <w:rsid w:val="003A63D9"/>
    <w:rsid w:val="003B1CFC"/>
    <w:rsid w:val="003B2D8F"/>
    <w:rsid w:val="003B420D"/>
    <w:rsid w:val="003B59BC"/>
    <w:rsid w:val="003B7CA7"/>
    <w:rsid w:val="003C6C16"/>
    <w:rsid w:val="003D1C17"/>
    <w:rsid w:val="003D4511"/>
    <w:rsid w:val="003D6666"/>
    <w:rsid w:val="003D794D"/>
    <w:rsid w:val="003D7DC4"/>
    <w:rsid w:val="003E044B"/>
    <w:rsid w:val="003E1DAB"/>
    <w:rsid w:val="003E3058"/>
    <w:rsid w:val="003E329E"/>
    <w:rsid w:val="003E36E1"/>
    <w:rsid w:val="003E4725"/>
    <w:rsid w:val="003E6AA8"/>
    <w:rsid w:val="003E76A9"/>
    <w:rsid w:val="003F0809"/>
    <w:rsid w:val="003F18DB"/>
    <w:rsid w:val="003F23E8"/>
    <w:rsid w:val="003F5099"/>
    <w:rsid w:val="003F5F2B"/>
    <w:rsid w:val="003F6A8C"/>
    <w:rsid w:val="003F755C"/>
    <w:rsid w:val="00406182"/>
    <w:rsid w:val="00406D0A"/>
    <w:rsid w:val="00406F01"/>
    <w:rsid w:val="00410BB5"/>
    <w:rsid w:val="00412BCD"/>
    <w:rsid w:val="00416D50"/>
    <w:rsid w:val="00416FD5"/>
    <w:rsid w:val="00417772"/>
    <w:rsid w:val="00420E6A"/>
    <w:rsid w:val="004228B3"/>
    <w:rsid w:val="00424CC8"/>
    <w:rsid w:val="00425A9E"/>
    <w:rsid w:val="00426D6B"/>
    <w:rsid w:val="00431E6C"/>
    <w:rsid w:val="00433CE7"/>
    <w:rsid w:val="00436542"/>
    <w:rsid w:val="004420AE"/>
    <w:rsid w:val="00452738"/>
    <w:rsid w:val="00456091"/>
    <w:rsid w:val="0046028D"/>
    <w:rsid w:val="00464887"/>
    <w:rsid w:val="00465382"/>
    <w:rsid w:val="00466321"/>
    <w:rsid w:val="004722F8"/>
    <w:rsid w:val="004806AA"/>
    <w:rsid w:val="00484B9B"/>
    <w:rsid w:val="00484BD7"/>
    <w:rsid w:val="004855F6"/>
    <w:rsid w:val="00486539"/>
    <w:rsid w:val="0048661E"/>
    <w:rsid w:val="00494670"/>
    <w:rsid w:val="00494FFB"/>
    <w:rsid w:val="004966FE"/>
    <w:rsid w:val="004974EA"/>
    <w:rsid w:val="00497543"/>
    <w:rsid w:val="00497801"/>
    <w:rsid w:val="004A29D8"/>
    <w:rsid w:val="004A3823"/>
    <w:rsid w:val="004B1B5A"/>
    <w:rsid w:val="004B2431"/>
    <w:rsid w:val="004B39A3"/>
    <w:rsid w:val="004B51D0"/>
    <w:rsid w:val="004B5E2B"/>
    <w:rsid w:val="004C4E99"/>
    <w:rsid w:val="004C4FB4"/>
    <w:rsid w:val="004C7573"/>
    <w:rsid w:val="004D1EFC"/>
    <w:rsid w:val="004E6946"/>
    <w:rsid w:val="004F1AD8"/>
    <w:rsid w:val="004F2AC1"/>
    <w:rsid w:val="004F3D4D"/>
    <w:rsid w:val="004F5CAA"/>
    <w:rsid w:val="004F66D6"/>
    <w:rsid w:val="004F6EF3"/>
    <w:rsid w:val="00501E78"/>
    <w:rsid w:val="005039CB"/>
    <w:rsid w:val="0050558F"/>
    <w:rsid w:val="00506286"/>
    <w:rsid w:val="0050638A"/>
    <w:rsid w:val="00510813"/>
    <w:rsid w:val="00511990"/>
    <w:rsid w:val="00511DE0"/>
    <w:rsid w:val="00512BE1"/>
    <w:rsid w:val="0051427E"/>
    <w:rsid w:val="00514870"/>
    <w:rsid w:val="00514B9B"/>
    <w:rsid w:val="00517F02"/>
    <w:rsid w:val="00524303"/>
    <w:rsid w:val="005258A2"/>
    <w:rsid w:val="0052714E"/>
    <w:rsid w:val="00530175"/>
    <w:rsid w:val="00531633"/>
    <w:rsid w:val="00536752"/>
    <w:rsid w:val="005401AE"/>
    <w:rsid w:val="00542E07"/>
    <w:rsid w:val="005440D1"/>
    <w:rsid w:val="00545424"/>
    <w:rsid w:val="00554A7B"/>
    <w:rsid w:val="0055572C"/>
    <w:rsid w:val="0056106A"/>
    <w:rsid w:val="0056199A"/>
    <w:rsid w:val="00561FE4"/>
    <w:rsid w:val="005700AE"/>
    <w:rsid w:val="005720AE"/>
    <w:rsid w:val="005735DE"/>
    <w:rsid w:val="00585B93"/>
    <w:rsid w:val="00587DA0"/>
    <w:rsid w:val="00592416"/>
    <w:rsid w:val="00594D77"/>
    <w:rsid w:val="00596198"/>
    <w:rsid w:val="005969E4"/>
    <w:rsid w:val="005A06B7"/>
    <w:rsid w:val="005A1759"/>
    <w:rsid w:val="005A3D2A"/>
    <w:rsid w:val="005A53B2"/>
    <w:rsid w:val="005A68A7"/>
    <w:rsid w:val="005B2B01"/>
    <w:rsid w:val="005B3BFD"/>
    <w:rsid w:val="005C2DD1"/>
    <w:rsid w:val="005C2FB7"/>
    <w:rsid w:val="005C331E"/>
    <w:rsid w:val="005C4B86"/>
    <w:rsid w:val="005C7855"/>
    <w:rsid w:val="005C7E76"/>
    <w:rsid w:val="005D36AB"/>
    <w:rsid w:val="005D569E"/>
    <w:rsid w:val="005D593C"/>
    <w:rsid w:val="005D7C87"/>
    <w:rsid w:val="005E238D"/>
    <w:rsid w:val="005E606C"/>
    <w:rsid w:val="005F23FA"/>
    <w:rsid w:val="005F4A87"/>
    <w:rsid w:val="005F7815"/>
    <w:rsid w:val="00601D24"/>
    <w:rsid w:val="0060241D"/>
    <w:rsid w:val="00604BE9"/>
    <w:rsid w:val="006059FA"/>
    <w:rsid w:val="00612901"/>
    <w:rsid w:val="00617CC3"/>
    <w:rsid w:val="00617E86"/>
    <w:rsid w:val="00622428"/>
    <w:rsid w:val="00623047"/>
    <w:rsid w:val="00627BD7"/>
    <w:rsid w:val="006313EA"/>
    <w:rsid w:val="00635983"/>
    <w:rsid w:val="006377A6"/>
    <w:rsid w:val="00637A3D"/>
    <w:rsid w:val="006411EF"/>
    <w:rsid w:val="00642094"/>
    <w:rsid w:val="006471F2"/>
    <w:rsid w:val="00647EEA"/>
    <w:rsid w:val="00652FFF"/>
    <w:rsid w:val="00657CE4"/>
    <w:rsid w:val="006643FF"/>
    <w:rsid w:val="00665184"/>
    <w:rsid w:val="00673744"/>
    <w:rsid w:val="006748B8"/>
    <w:rsid w:val="006775C3"/>
    <w:rsid w:val="0069290A"/>
    <w:rsid w:val="00694396"/>
    <w:rsid w:val="00696609"/>
    <w:rsid w:val="0069775A"/>
    <w:rsid w:val="00697813"/>
    <w:rsid w:val="006A2D3F"/>
    <w:rsid w:val="006A3EE8"/>
    <w:rsid w:val="006A72BF"/>
    <w:rsid w:val="006B03F2"/>
    <w:rsid w:val="006B0DFB"/>
    <w:rsid w:val="006B2A84"/>
    <w:rsid w:val="006B37DC"/>
    <w:rsid w:val="006B4F68"/>
    <w:rsid w:val="006B7FAF"/>
    <w:rsid w:val="006C0592"/>
    <w:rsid w:val="006C0DC3"/>
    <w:rsid w:val="006C272E"/>
    <w:rsid w:val="006C5479"/>
    <w:rsid w:val="006D13B5"/>
    <w:rsid w:val="006D4030"/>
    <w:rsid w:val="006D41A3"/>
    <w:rsid w:val="006E0F33"/>
    <w:rsid w:val="006E12FF"/>
    <w:rsid w:val="006E4C2E"/>
    <w:rsid w:val="006E607E"/>
    <w:rsid w:val="006E7CAD"/>
    <w:rsid w:val="006F1D32"/>
    <w:rsid w:val="006F47C4"/>
    <w:rsid w:val="007002C4"/>
    <w:rsid w:val="007007C1"/>
    <w:rsid w:val="00706C5D"/>
    <w:rsid w:val="007113E3"/>
    <w:rsid w:val="00713FC4"/>
    <w:rsid w:val="007163AE"/>
    <w:rsid w:val="00727358"/>
    <w:rsid w:val="00732922"/>
    <w:rsid w:val="00734506"/>
    <w:rsid w:val="0073611D"/>
    <w:rsid w:val="00743AF8"/>
    <w:rsid w:val="007453D0"/>
    <w:rsid w:val="007474A1"/>
    <w:rsid w:val="0075162E"/>
    <w:rsid w:val="00752A13"/>
    <w:rsid w:val="00754034"/>
    <w:rsid w:val="00756556"/>
    <w:rsid w:val="0076024A"/>
    <w:rsid w:val="007618C4"/>
    <w:rsid w:val="00761A40"/>
    <w:rsid w:val="00761D9E"/>
    <w:rsid w:val="00767980"/>
    <w:rsid w:val="00770B19"/>
    <w:rsid w:val="0077463F"/>
    <w:rsid w:val="0077504A"/>
    <w:rsid w:val="007814BA"/>
    <w:rsid w:val="00783245"/>
    <w:rsid w:val="007836EA"/>
    <w:rsid w:val="00784CDA"/>
    <w:rsid w:val="0078636A"/>
    <w:rsid w:val="00786DB1"/>
    <w:rsid w:val="007906C4"/>
    <w:rsid w:val="007940EA"/>
    <w:rsid w:val="00794B0F"/>
    <w:rsid w:val="00794C93"/>
    <w:rsid w:val="007967E8"/>
    <w:rsid w:val="007972E6"/>
    <w:rsid w:val="007A12B5"/>
    <w:rsid w:val="007A1781"/>
    <w:rsid w:val="007A2170"/>
    <w:rsid w:val="007A22BF"/>
    <w:rsid w:val="007A3323"/>
    <w:rsid w:val="007B1CD4"/>
    <w:rsid w:val="007B378E"/>
    <w:rsid w:val="007B72B8"/>
    <w:rsid w:val="007B7A58"/>
    <w:rsid w:val="007C21B5"/>
    <w:rsid w:val="007C6BB3"/>
    <w:rsid w:val="007D2E82"/>
    <w:rsid w:val="007D65B6"/>
    <w:rsid w:val="007D6F9A"/>
    <w:rsid w:val="007E179D"/>
    <w:rsid w:val="007E4BD2"/>
    <w:rsid w:val="007E6385"/>
    <w:rsid w:val="007E7905"/>
    <w:rsid w:val="007E7A97"/>
    <w:rsid w:val="007F20E7"/>
    <w:rsid w:val="008010FE"/>
    <w:rsid w:val="00801393"/>
    <w:rsid w:val="00802F88"/>
    <w:rsid w:val="00804F0E"/>
    <w:rsid w:val="0080637D"/>
    <w:rsid w:val="00810EAA"/>
    <w:rsid w:val="00811A24"/>
    <w:rsid w:val="0081293E"/>
    <w:rsid w:val="00814DDD"/>
    <w:rsid w:val="00815465"/>
    <w:rsid w:val="0081576F"/>
    <w:rsid w:val="00817E9A"/>
    <w:rsid w:val="00820600"/>
    <w:rsid w:val="008264AC"/>
    <w:rsid w:val="0083050D"/>
    <w:rsid w:val="008306BD"/>
    <w:rsid w:val="00830B7F"/>
    <w:rsid w:val="00831A80"/>
    <w:rsid w:val="0083255B"/>
    <w:rsid w:val="00833743"/>
    <w:rsid w:val="008340A4"/>
    <w:rsid w:val="00842894"/>
    <w:rsid w:val="00846CF2"/>
    <w:rsid w:val="00846D89"/>
    <w:rsid w:val="0085050A"/>
    <w:rsid w:val="00852753"/>
    <w:rsid w:val="008569C8"/>
    <w:rsid w:val="0086026E"/>
    <w:rsid w:val="00861DAB"/>
    <w:rsid w:val="00863B59"/>
    <w:rsid w:val="00870BB4"/>
    <w:rsid w:val="0087135F"/>
    <w:rsid w:val="00872D94"/>
    <w:rsid w:val="008747D1"/>
    <w:rsid w:val="00874B64"/>
    <w:rsid w:val="00880364"/>
    <w:rsid w:val="00884E39"/>
    <w:rsid w:val="00891592"/>
    <w:rsid w:val="00891E9E"/>
    <w:rsid w:val="008935A6"/>
    <w:rsid w:val="008A0043"/>
    <w:rsid w:val="008A081C"/>
    <w:rsid w:val="008A0AF7"/>
    <w:rsid w:val="008A0B20"/>
    <w:rsid w:val="008A2F68"/>
    <w:rsid w:val="008A7645"/>
    <w:rsid w:val="008B4FA6"/>
    <w:rsid w:val="008B5282"/>
    <w:rsid w:val="008B73C2"/>
    <w:rsid w:val="008B78DF"/>
    <w:rsid w:val="008B7C17"/>
    <w:rsid w:val="008C1098"/>
    <w:rsid w:val="008C16AC"/>
    <w:rsid w:val="008C2D01"/>
    <w:rsid w:val="008C36DC"/>
    <w:rsid w:val="008C3A09"/>
    <w:rsid w:val="008C3FBE"/>
    <w:rsid w:val="008C40E6"/>
    <w:rsid w:val="008C52D3"/>
    <w:rsid w:val="008C76EB"/>
    <w:rsid w:val="008D0F7A"/>
    <w:rsid w:val="008D68E4"/>
    <w:rsid w:val="008E0506"/>
    <w:rsid w:val="008E0CFF"/>
    <w:rsid w:val="008E5D6B"/>
    <w:rsid w:val="008E76F0"/>
    <w:rsid w:val="008E7784"/>
    <w:rsid w:val="008F15FE"/>
    <w:rsid w:val="008F2D29"/>
    <w:rsid w:val="008F5187"/>
    <w:rsid w:val="008F60D8"/>
    <w:rsid w:val="008F6A18"/>
    <w:rsid w:val="00902727"/>
    <w:rsid w:val="0090312B"/>
    <w:rsid w:val="0090369A"/>
    <w:rsid w:val="0090515A"/>
    <w:rsid w:val="00911A8F"/>
    <w:rsid w:val="0091341F"/>
    <w:rsid w:val="00913EC6"/>
    <w:rsid w:val="009151A4"/>
    <w:rsid w:val="00915A8D"/>
    <w:rsid w:val="0091736D"/>
    <w:rsid w:val="00922868"/>
    <w:rsid w:val="00924527"/>
    <w:rsid w:val="0092458B"/>
    <w:rsid w:val="00925AFB"/>
    <w:rsid w:val="0093037A"/>
    <w:rsid w:val="00931944"/>
    <w:rsid w:val="00936494"/>
    <w:rsid w:val="00937FA8"/>
    <w:rsid w:val="0094154D"/>
    <w:rsid w:val="00943055"/>
    <w:rsid w:val="0094313D"/>
    <w:rsid w:val="00943EF9"/>
    <w:rsid w:val="0094402F"/>
    <w:rsid w:val="009441F5"/>
    <w:rsid w:val="00947CCE"/>
    <w:rsid w:val="0095155F"/>
    <w:rsid w:val="00954429"/>
    <w:rsid w:val="009557FA"/>
    <w:rsid w:val="009563CE"/>
    <w:rsid w:val="00961E6F"/>
    <w:rsid w:val="009623CD"/>
    <w:rsid w:val="00966D99"/>
    <w:rsid w:val="009743EE"/>
    <w:rsid w:val="009751CE"/>
    <w:rsid w:val="00976328"/>
    <w:rsid w:val="0097680D"/>
    <w:rsid w:val="00977DE9"/>
    <w:rsid w:val="00980E04"/>
    <w:rsid w:val="00982438"/>
    <w:rsid w:val="0098404C"/>
    <w:rsid w:val="00985283"/>
    <w:rsid w:val="009912AC"/>
    <w:rsid w:val="00994ED5"/>
    <w:rsid w:val="00995992"/>
    <w:rsid w:val="00995C74"/>
    <w:rsid w:val="009A03E5"/>
    <w:rsid w:val="009A0F3B"/>
    <w:rsid w:val="009A1BB4"/>
    <w:rsid w:val="009A2628"/>
    <w:rsid w:val="009A3200"/>
    <w:rsid w:val="009B0897"/>
    <w:rsid w:val="009B328D"/>
    <w:rsid w:val="009B7BD9"/>
    <w:rsid w:val="009B7D09"/>
    <w:rsid w:val="009C19F4"/>
    <w:rsid w:val="009C2C8B"/>
    <w:rsid w:val="009C6C10"/>
    <w:rsid w:val="009C7DD5"/>
    <w:rsid w:val="009D75A0"/>
    <w:rsid w:val="009E0C45"/>
    <w:rsid w:val="009E227D"/>
    <w:rsid w:val="009E2DB2"/>
    <w:rsid w:val="009E5019"/>
    <w:rsid w:val="009F4F60"/>
    <w:rsid w:val="009F7675"/>
    <w:rsid w:val="00A02977"/>
    <w:rsid w:val="00A04F1B"/>
    <w:rsid w:val="00A0501B"/>
    <w:rsid w:val="00A104F0"/>
    <w:rsid w:val="00A12AE8"/>
    <w:rsid w:val="00A1415F"/>
    <w:rsid w:val="00A14947"/>
    <w:rsid w:val="00A16E7C"/>
    <w:rsid w:val="00A176FD"/>
    <w:rsid w:val="00A25FB1"/>
    <w:rsid w:val="00A32A83"/>
    <w:rsid w:val="00A342E2"/>
    <w:rsid w:val="00A34580"/>
    <w:rsid w:val="00A364B9"/>
    <w:rsid w:val="00A368DB"/>
    <w:rsid w:val="00A40F6C"/>
    <w:rsid w:val="00A423AA"/>
    <w:rsid w:val="00A52157"/>
    <w:rsid w:val="00A53EC6"/>
    <w:rsid w:val="00A55C0F"/>
    <w:rsid w:val="00A6163B"/>
    <w:rsid w:val="00A637BB"/>
    <w:rsid w:val="00A6392A"/>
    <w:rsid w:val="00A72FD7"/>
    <w:rsid w:val="00A75418"/>
    <w:rsid w:val="00A80DD7"/>
    <w:rsid w:val="00A859E5"/>
    <w:rsid w:val="00A8713F"/>
    <w:rsid w:val="00A90BA1"/>
    <w:rsid w:val="00A97A9A"/>
    <w:rsid w:val="00AA0671"/>
    <w:rsid w:val="00AA2531"/>
    <w:rsid w:val="00AA707A"/>
    <w:rsid w:val="00AB1E09"/>
    <w:rsid w:val="00AB5330"/>
    <w:rsid w:val="00AB7747"/>
    <w:rsid w:val="00AB77A5"/>
    <w:rsid w:val="00AC14CE"/>
    <w:rsid w:val="00AC157B"/>
    <w:rsid w:val="00AC2A56"/>
    <w:rsid w:val="00AC6142"/>
    <w:rsid w:val="00AD055E"/>
    <w:rsid w:val="00AD195A"/>
    <w:rsid w:val="00AD47A7"/>
    <w:rsid w:val="00AE4475"/>
    <w:rsid w:val="00AF0CBF"/>
    <w:rsid w:val="00AF1F83"/>
    <w:rsid w:val="00AF257F"/>
    <w:rsid w:val="00AF33CF"/>
    <w:rsid w:val="00AF46A0"/>
    <w:rsid w:val="00AF4D50"/>
    <w:rsid w:val="00AF6179"/>
    <w:rsid w:val="00AF663B"/>
    <w:rsid w:val="00B04825"/>
    <w:rsid w:val="00B05F24"/>
    <w:rsid w:val="00B06E49"/>
    <w:rsid w:val="00B11485"/>
    <w:rsid w:val="00B1295A"/>
    <w:rsid w:val="00B16ACC"/>
    <w:rsid w:val="00B17E84"/>
    <w:rsid w:val="00B20A45"/>
    <w:rsid w:val="00B22C5C"/>
    <w:rsid w:val="00B230B8"/>
    <w:rsid w:val="00B23BAD"/>
    <w:rsid w:val="00B24F30"/>
    <w:rsid w:val="00B27028"/>
    <w:rsid w:val="00B31ABF"/>
    <w:rsid w:val="00B33BE3"/>
    <w:rsid w:val="00B37173"/>
    <w:rsid w:val="00B44A7D"/>
    <w:rsid w:val="00B514AB"/>
    <w:rsid w:val="00B53B5D"/>
    <w:rsid w:val="00B555F8"/>
    <w:rsid w:val="00B6055E"/>
    <w:rsid w:val="00B62FFD"/>
    <w:rsid w:val="00B6317D"/>
    <w:rsid w:val="00B765B1"/>
    <w:rsid w:val="00B7723F"/>
    <w:rsid w:val="00B77746"/>
    <w:rsid w:val="00B80534"/>
    <w:rsid w:val="00B818D2"/>
    <w:rsid w:val="00B81EAA"/>
    <w:rsid w:val="00B82669"/>
    <w:rsid w:val="00B8433C"/>
    <w:rsid w:val="00B85159"/>
    <w:rsid w:val="00B87491"/>
    <w:rsid w:val="00B92BA1"/>
    <w:rsid w:val="00B9454C"/>
    <w:rsid w:val="00BA29E9"/>
    <w:rsid w:val="00BA54DF"/>
    <w:rsid w:val="00BA5FF5"/>
    <w:rsid w:val="00BA7142"/>
    <w:rsid w:val="00BB0D82"/>
    <w:rsid w:val="00BB1E6B"/>
    <w:rsid w:val="00BB237C"/>
    <w:rsid w:val="00BB272F"/>
    <w:rsid w:val="00BB41A3"/>
    <w:rsid w:val="00BB7EBF"/>
    <w:rsid w:val="00BC32DC"/>
    <w:rsid w:val="00BC35B6"/>
    <w:rsid w:val="00BC3F90"/>
    <w:rsid w:val="00BC5676"/>
    <w:rsid w:val="00BD0289"/>
    <w:rsid w:val="00BD1B51"/>
    <w:rsid w:val="00BD303E"/>
    <w:rsid w:val="00BD4596"/>
    <w:rsid w:val="00BD7A02"/>
    <w:rsid w:val="00BE1405"/>
    <w:rsid w:val="00BE312D"/>
    <w:rsid w:val="00BE488E"/>
    <w:rsid w:val="00BE5ADF"/>
    <w:rsid w:val="00BF1C20"/>
    <w:rsid w:val="00BF3470"/>
    <w:rsid w:val="00BF4B83"/>
    <w:rsid w:val="00BF4EDC"/>
    <w:rsid w:val="00BF6E3A"/>
    <w:rsid w:val="00BF798F"/>
    <w:rsid w:val="00C10306"/>
    <w:rsid w:val="00C10578"/>
    <w:rsid w:val="00C12213"/>
    <w:rsid w:val="00C135BC"/>
    <w:rsid w:val="00C14D11"/>
    <w:rsid w:val="00C1591C"/>
    <w:rsid w:val="00C15C95"/>
    <w:rsid w:val="00C17D30"/>
    <w:rsid w:val="00C24CD8"/>
    <w:rsid w:val="00C2596A"/>
    <w:rsid w:val="00C26775"/>
    <w:rsid w:val="00C27537"/>
    <w:rsid w:val="00C27954"/>
    <w:rsid w:val="00C305C3"/>
    <w:rsid w:val="00C31303"/>
    <w:rsid w:val="00C31C05"/>
    <w:rsid w:val="00C328FE"/>
    <w:rsid w:val="00C33507"/>
    <w:rsid w:val="00C340CE"/>
    <w:rsid w:val="00C4188E"/>
    <w:rsid w:val="00C4409D"/>
    <w:rsid w:val="00C44B57"/>
    <w:rsid w:val="00C44DD5"/>
    <w:rsid w:val="00C44E72"/>
    <w:rsid w:val="00C45A06"/>
    <w:rsid w:val="00C47E5B"/>
    <w:rsid w:val="00C52A56"/>
    <w:rsid w:val="00C57868"/>
    <w:rsid w:val="00C57A90"/>
    <w:rsid w:val="00C61E4B"/>
    <w:rsid w:val="00C64BFF"/>
    <w:rsid w:val="00C702D5"/>
    <w:rsid w:val="00C704E9"/>
    <w:rsid w:val="00C763C9"/>
    <w:rsid w:val="00C80057"/>
    <w:rsid w:val="00C818A2"/>
    <w:rsid w:val="00C82232"/>
    <w:rsid w:val="00C82913"/>
    <w:rsid w:val="00C85C83"/>
    <w:rsid w:val="00C863E2"/>
    <w:rsid w:val="00C91773"/>
    <w:rsid w:val="00C924D2"/>
    <w:rsid w:val="00C92DDF"/>
    <w:rsid w:val="00C9377B"/>
    <w:rsid w:val="00C972B1"/>
    <w:rsid w:val="00CA2CCE"/>
    <w:rsid w:val="00CA43FD"/>
    <w:rsid w:val="00CA7EF8"/>
    <w:rsid w:val="00CB0F2E"/>
    <w:rsid w:val="00CB3F8B"/>
    <w:rsid w:val="00CC344B"/>
    <w:rsid w:val="00CC489B"/>
    <w:rsid w:val="00CD1C81"/>
    <w:rsid w:val="00CD2BCD"/>
    <w:rsid w:val="00CD3A4C"/>
    <w:rsid w:val="00CD46FA"/>
    <w:rsid w:val="00CE10E9"/>
    <w:rsid w:val="00CE123C"/>
    <w:rsid w:val="00CE2910"/>
    <w:rsid w:val="00CE5393"/>
    <w:rsid w:val="00CE569A"/>
    <w:rsid w:val="00CE58C8"/>
    <w:rsid w:val="00CE590D"/>
    <w:rsid w:val="00CE791D"/>
    <w:rsid w:val="00CF363A"/>
    <w:rsid w:val="00CF36BE"/>
    <w:rsid w:val="00CF37DB"/>
    <w:rsid w:val="00CF6000"/>
    <w:rsid w:val="00D003F3"/>
    <w:rsid w:val="00D0364F"/>
    <w:rsid w:val="00D05B69"/>
    <w:rsid w:val="00D06834"/>
    <w:rsid w:val="00D10A8C"/>
    <w:rsid w:val="00D11EF6"/>
    <w:rsid w:val="00D2146A"/>
    <w:rsid w:val="00D23242"/>
    <w:rsid w:val="00D308ED"/>
    <w:rsid w:val="00D33B3C"/>
    <w:rsid w:val="00D36D86"/>
    <w:rsid w:val="00D424BC"/>
    <w:rsid w:val="00D428AA"/>
    <w:rsid w:val="00D462CE"/>
    <w:rsid w:val="00D479B0"/>
    <w:rsid w:val="00D50893"/>
    <w:rsid w:val="00D50A34"/>
    <w:rsid w:val="00D51260"/>
    <w:rsid w:val="00D53EFA"/>
    <w:rsid w:val="00D559B0"/>
    <w:rsid w:val="00D56E71"/>
    <w:rsid w:val="00D75227"/>
    <w:rsid w:val="00D77DCE"/>
    <w:rsid w:val="00D83C44"/>
    <w:rsid w:val="00D8421D"/>
    <w:rsid w:val="00D86FE8"/>
    <w:rsid w:val="00D90559"/>
    <w:rsid w:val="00D906FF"/>
    <w:rsid w:val="00D9408B"/>
    <w:rsid w:val="00D94A7C"/>
    <w:rsid w:val="00D94E8E"/>
    <w:rsid w:val="00D95896"/>
    <w:rsid w:val="00D979C3"/>
    <w:rsid w:val="00DA65A2"/>
    <w:rsid w:val="00DB2983"/>
    <w:rsid w:val="00DB653C"/>
    <w:rsid w:val="00DC0A7C"/>
    <w:rsid w:val="00DC1257"/>
    <w:rsid w:val="00DC1FBD"/>
    <w:rsid w:val="00DC3DC0"/>
    <w:rsid w:val="00DC45A7"/>
    <w:rsid w:val="00DC47C9"/>
    <w:rsid w:val="00DC5B2B"/>
    <w:rsid w:val="00DC7C1D"/>
    <w:rsid w:val="00DD15FA"/>
    <w:rsid w:val="00DD2004"/>
    <w:rsid w:val="00DD318D"/>
    <w:rsid w:val="00DE2049"/>
    <w:rsid w:val="00DE31A8"/>
    <w:rsid w:val="00DE5C7D"/>
    <w:rsid w:val="00DE7CDC"/>
    <w:rsid w:val="00DF08D7"/>
    <w:rsid w:val="00DF2E12"/>
    <w:rsid w:val="00DF514A"/>
    <w:rsid w:val="00DF6690"/>
    <w:rsid w:val="00DF6804"/>
    <w:rsid w:val="00E00698"/>
    <w:rsid w:val="00E0081B"/>
    <w:rsid w:val="00E00CDA"/>
    <w:rsid w:val="00E01A3E"/>
    <w:rsid w:val="00E01B39"/>
    <w:rsid w:val="00E03413"/>
    <w:rsid w:val="00E0358D"/>
    <w:rsid w:val="00E04323"/>
    <w:rsid w:val="00E0489A"/>
    <w:rsid w:val="00E04DFF"/>
    <w:rsid w:val="00E070A2"/>
    <w:rsid w:val="00E07E43"/>
    <w:rsid w:val="00E07ED2"/>
    <w:rsid w:val="00E103FB"/>
    <w:rsid w:val="00E139BD"/>
    <w:rsid w:val="00E2656A"/>
    <w:rsid w:val="00E3655E"/>
    <w:rsid w:val="00E40F54"/>
    <w:rsid w:val="00E412D0"/>
    <w:rsid w:val="00E42001"/>
    <w:rsid w:val="00E44489"/>
    <w:rsid w:val="00E504C1"/>
    <w:rsid w:val="00E56322"/>
    <w:rsid w:val="00E60982"/>
    <w:rsid w:val="00E61FB9"/>
    <w:rsid w:val="00E620FA"/>
    <w:rsid w:val="00E62340"/>
    <w:rsid w:val="00E62C62"/>
    <w:rsid w:val="00E654C1"/>
    <w:rsid w:val="00E65D97"/>
    <w:rsid w:val="00E67DDC"/>
    <w:rsid w:val="00E713F5"/>
    <w:rsid w:val="00E72A5A"/>
    <w:rsid w:val="00E730D6"/>
    <w:rsid w:val="00E73354"/>
    <w:rsid w:val="00E73E05"/>
    <w:rsid w:val="00E77B52"/>
    <w:rsid w:val="00E84675"/>
    <w:rsid w:val="00E90D15"/>
    <w:rsid w:val="00E9242D"/>
    <w:rsid w:val="00E93AB5"/>
    <w:rsid w:val="00E95E4A"/>
    <w:rsid w:val="00EA058C"/>
    <w:rsid w:val="00EA14AF"/>
    <w:rsid w:val="00EA355A"/>
    <w:rsid w:val="00EB1C0E"/>
    <w:rsid w:val="00EB5255"/>
    <w:rsid w:val="00EB5C47"/>
    <w:rsid w:val="00EC13E9"/>
    <w:rsid w:val="00EC595B"/>
    <w:rsid w:val="00EC66D7"/>
    <w:rsid w:val="00ED0639"/>
    <w:rsid w:val="00ED4791"/>
    <w:rsid w:val="00EE2F7D"/>
    <w:rsid w:val="00EE391B"/>
    <w:rsid w:val="00EF19C5"/>
    <w:rsid w:val="00EF4755"/>
    <w:rsid w:val="00EF7135"/>
    <w:rsid w:val="00F027DB"/>
    <w:rsid w:val="00F14A7A"/>
    <w:rsid w:val="00F22985"/>
    <w:rsid w:val="00F32637"/>
    <w:rsid w:val="00F3383E"/>
    <w:rsid w:val="00F41509"/>
    <w:rsid w:val="00F465A7"/>
    <w:rsid w:val="00F50B7C"/>
    <w:rsid w:val="00F50CC5"/>
    <w:rsid w:val="00F53696"/>
    <w:rsid w:val="00F550E6"/>
    <w:rsid w:val="00F60750"/>
    <w:rsid w:val="00F646B5"/>
    <w:rsid w:val="00F652E3"/>
    <w:rsid w:val="00F74345"/>
    <w:rsid w:val="00F74A57"/>
    <w:rsid w:val="00F77EEB"/>
    <w:rsid w:val="00F808C1"/>
    <w:rsid w:val="00F80A0A"/>
    <w:rsid w:val="00F824DB"/>
    <w:rsid w:val="00F82B19"/>
    <w:rsid w:val="00F9080A"/>
    <w:rsid w:val="00F91035"/>
    <w:rsid w:val="00F9165E"/>
    <w:rsid w:val="00F9179F"/>
    <w:rsid w:val="00F91930"/>
    <w:rsid w:val="00F9210D"/>
    <w:rsid w:val="00F9212D"/>
    <w:rsid w:val="00F94778"/>
    <w:rsid w:val="00F94C0C"/>
    <w:rsid w:val="00F965DA"/>
    <w:rsid w:val="00F96DF1"/>
    <w:rsid w:val="00FA296C"/>
    <w:rsid w:val="00FA406A"/>
    <w:rsid w:val="00FA4739"/>
    <w:rsid w:val="00FB1070"/>
    <w:rsid w:val="00FB503A"/>
    <w:rsid w:val="00FB516C"/>
    <w:rsid w:val="00FB5F67"/>
    <w:rsid w:val="00FC0873"/>
    <w:rsid w:val="00FC2A3E"/>
    <w:rsid w:val="00FC73C0"/>
    <w:rsid w:val="00FD0236"/>
    <w:rsid w:val="00FD18F4"/>
    <w:rsid w:val="00FD54DB"/>
    <w:rsid w:val="00FD619F"/>
    <w:rsid w:val="00FE72BF"/>
    <w:rsid w:val="01141165"/>
    <w:rsid w:val="011E3D92"/>
    <w:rsid w:val="012162DC"/>
    <w:rsid w:val="01275842"/>
    <w:rsid w:val="01290F7E"/>
    <w:rsid w:val="012F29D4"/>
    <w:rsid w:val="0131560C"/>
    <w:rsid w:val="013637D1"/>
    <w:rsid w:val="01374B51"/>
    <w:rsid w:val="013A5B18"/>
    <w:rsid w:val="013E61E2"/>
    <w:rsid w:val="015D1E09"/>
    <w:rsid w:val="0161764E"/>
    <w:rsid w:val="016A221E"/>
    <w:rsid w:val="016F0A91"/>
    <w:rsid w:val="017460A8"/>
    <w:rsid w:val="01754405"/>
    <w:rsid w:val="018A7679"/>
    <w:rsid w:val="018E0198"/>
    <w:rsid w:val="018F6A3E"/>
    <w:rsid w:val="01941086"/>
    <w:rsid w:val="019523F8"/>
    <w:rsid w:val="019A06DB"/>
    <w:rsid w:val="019E4ED3"/>
    <w:rsid w:val="01A3073B"/>
    <w:rsid w:val="01A324E9"/>
    <w:rsid w:val="01A32AED"/>
    <w:rsid w:val="01A95AA3"/>
    <w:rsid w:val="01B13C3D"/>
    <w:rsid w:val="01B75EB1"/>
    <w:rsid w:val="01BA442D"/>
    <w:rsid w:val="01C76A95"/>
    <w:rsid w:val="01CE57B8"/>
    <w:rsid w:val="01D31020"/>
    <w:rsid w:val="01DC65CA"/>
    <w:rsid w:val="01E25FCB"/>
    <w:rsid w:val="01E34302"/>
    <w:rsid w:val="01E51DE9"/>
    <w:rsid w:val="01E925F2"/>
    <w:rsid w:val="01EA636F"/>
    <w:rsid w:val="01FB34ED"/>
    <w:rsid w:val="01FF0067"/>
    <w:rsid w:val="020013C4"/>
    <w:rsid w:val="020143D2"/>
    <w:rsid w:val="02056D00"/>
    <w:rsid w:val="020A2568"/>
    <w:rsid w:val="020C0C2D"/>
    <w:rsid w:val="020E04BB"/>
    <w:rsid w:val="020E7D29"/>
    <w:rsid w:val="02104022"/>
    <w:rsid w:val="02125C4F"/>
    <w:rsid w:val="021358C1"/>
    <w:rsid w:val="02142A4F"/>
    <w:rsid w:val="021B6523"/>
    <w:rsid w:val="021D229B"/>
    <w:rsid w:val="021E6FCE"/>
    <w:rsid w:val="021F138F"/>
    <w:rsid w:val="02201447"/>
    <w:rsid w:val="02211553"/>
    <w:rsid w:val="02336E01"/>
    <w:rsid w:val="023A4505"/>
    <w:rsid w:val="023C653D"/>
    <w:rsid w:val="02467A44"/>
    <w:rsid w:val="024B6E08"/>
    <w:rsid w:val="02574B54"/>
    <w:rsid w:val="025A34EF"/>
    <w:rsid w:val="025B2DC4"/>
    <w:rsid w:val="026954E1"/>
    <w:rsid w:val="02697903"/>
    <w:rsid w:val="026C4FD1"/>
    <w:rsid w:val="02702D13"/>
    <w:rsid w:val="027F6AB2"/>
    <w:rsid w:val="02816F1D"/>
    <w:rsid w:val="02883CB7"/>
    <w:rsid w:val="028B0B81"/>
    <w:rsid w:val="02906F11"/>
    <w:rsid w:val="029A2513"/>
    <w:rsid w:val="029A5B80"/>
    <w:rsid w:val="029A7D90"/>
    <w:rsid w:val="029C7664"/>
    <w:rsid w:val="02A06D00"/>
    <w:rsid w:val="02AD6B3E"/>
    <w:rsid w:val="02AD7AC3"/>
    <w:rsid w:val="02B56350"/>
    <w:rsid w:val="02BC3862"/>
    <w:rsid w:val="02BF5012"/>
    <w:rsid w:val="02C928C9"/>
    <w:rsid w:val="02C95F7F"/>
    <w:rsid w:val="02CC682B"/>
    <w:rsid w:val="02D07940"/>
    <w:rsid w:val="02D20130"/>
    <w:rsid w:val="02D221C3"/>
    <w:rsid w:val="02D23086"/>
    <w:rsid w:val="02DA1F3A"/>
    <w:rsid w:val="02DB3CCB"/>
    <w:rsid w:val="02F96569"/>
    <w:rsid w:val="02F96864"/>
    <w:rsid w:val="02FF5E45"/>
    <w:rsid w:val="03054691"/>
    <w:rsid w:val="03062D2F"/>
    <w:rsid w:val="03087744"/>
    <w:rsid w:val="030B47EA"/>
    <w:rsid w:val="030E1786"/>
    <w:rsid w:val="031F0507"/>
    <w:rsid w:val="032A63A4"/>
    <w:rsid w:val="032F04D8"/>
    <w:rsid w:val="03305FFE"/>
    <w:rsid w:val="033C49A3"/>
    <w:rsid w:val="03412113"/>
    <w:rsid w:val="034321D6"/>
    <w:rsid w:val="034E55AD"/>
    <w:rsid w:val="03567F43"/>
    <w:rsid w:val="036839EA"/>
    <w:rsid w:val="036C18D4"/>
    <w:rsid w:val="03710AF1"/>
    <w:rsid w:val="037151E1"/>
    <w:rsid w:val="03726617"/>
    <w:rsid w:val="037368CB"/>
    <w:rsid w:val="037541D9"/>
    <w:rsid w:val="03852992"/>
    <w:rsid w:val="038E3AFD"/>
    <w:rsid w:val="03920A67"/>
    <w:rsid w:val="039447DF"/>
    <w:rsid w:val="039B791C"/>
    <w:rsid w:val="039D51F4"/>
    <w:rsid w:val="03AA5354"/>
    <w:rsid w:val="03B24C65"/>
    <w:rsid w:val="03B92498"/>
    <w:rsid w:val="03B95EC6"/>
    <w:rsid w:val="03B95FF4"/>
    <w:rsid w:val="03BE700B"/>
    <w:rsid w:val="03C06354"/>
    <w:rsid w:val="03CF75C5"/>
    <w:rsid w:val="03D41080"/>
    <w:rsid w:val="03D64DF8"/>
    <w:rsid w:val="03DA3C0C"/>
    <w:rsid w:val="03E46AF8"/>
    <w:rsid w:val="03E56DE9"/>
    <w:rsid w:val="03E7198A"/>
    <w:rsid w:val="03EA08A3"/>
    <w:rsid w:val="03EA7B21"/>
    <w:rsid w:val="03EC0177"/>
    <w:rsid w:val="03EC4C43"/>
    <w:rsid w:val="03EC7835"/>
    <w:rsid w:val="03F11C32"/>
    <w:rsid w:val="03F46BA8"/>
    <w:rsid w:val="03F5113E"/>
    <w:rsid w:val="03FD4132"/>
    <w:rsid w:val="04046102"/>
    <w:rsid w:val="040B411F"/>
    <w:rsid w:val="041122BF"/>
    <w:rsid w:val="04180F6C"/>
    <w:rsid w:val="041C2745"/>
    <w:rsid w:val="04205F86"/>
    <w:rsid w:val="0425794B"/>
    <w:rsid w:val="042C2C6A"/>
    <w:rsid w:val="042D3C7A"/>
    <w:rsid w:val="04363AE8"/>
    <w:rsid w:val="0436440E"/>
    <w:rsid w:val="04367644"/>
    <w:rsid w:val="043D4E77"/>
    <w:rsid w:val="044226D2"/>
    <w:rsid w:val="045F3DDF"/>
    <w:rsid w:val="04806B11"/>
    <w:rsid w:val="048168B2"/>
    <w:rsid w:val="04842D10"/>
    <w:rsid w:val="048900BC"/>
    <w:rsid w:val="048E75E1"/>
    <w:rsid w:val="04922DBE"/>
    <w:rsid w:val="049A7BD3"/>
    <w:rsid w:val="049B329C"/>
    <w:rsid w:val="049E4CA2"/>
    <w:rsid w:val="049F51EA"/>
    <w:rsid w:val="04A37EB2"/>
    <w:rsid w:val="04A722F0"/>
    <w:rsid w:val="04AE75AC"/>
    <w:rsid w:val="04C05C4D"/>
    <w:rsid w:val="04C4010C"/>
    <w:rsid w:val="04C74740"/>
    <w:rsid w:val="04CB2483"/>
    <w:rsid w:val="04D035F5"/>
    <w:rsid w:val="04D8694E"/>
    <w:rsid w:val="04DA4528"/>
    <w:rsid w:val="04DC173B"/>
    <w:rsid w:val="04DF0891"/>
    <w:rsid w:val="04EA06EA"/>
    <w:rsid w:val="04EA725B"/>
    <w:rsid w:val="04EC00CF"/>
    <w:rsid w:val="04ED76E2"/>
    <w:rsid w:val="04FD0162"/>
    <w:rsid w:val="050339CA"/>
    <w:rsid w:val="05045994"/>
    <w:rsid w:val="050D65F7"/>
    <w:rsid w:val="05137986"/>
    <w:rsid w:val="05143357"/>
    <w:rsid w:val="051E6A56"/>
    <w:rsid w:val="051F5C62"/>
    <w:rsid w:val="05301AF2"/>
    <w:rsid w:val="05377629"/>
    <w:rsid w:val="05386C99"/>
    <w:rsid w:val="054F431A"/>
    <w:rsid w:val="054F6C10"/>
    <w:rsid w:val="055C6FAC"/>
    <w:rsid w:val="055E2D8B"/>
    <w:rsid w:val="055E77B7"/>
    <w:rsid w:val="0563386C"/>
    <w:rsid w:val="05643FA0"/>
    <w:rsid w:val="056823B8"/>
    <w:rsid w:val="057159BB"/>
    <w:rsid w:val="05776166"/>
    <w:rsid w:val="05801C20"/>
    <w:rsid w:val="058347FA"/>
    <w:rsid w:val="05891E41"/>
    <w:rsid w:val="05967018"/>
    <w:rsid w:val="0599432F"/>
    <w:rsid w:val="05B922DB"/>
    <w:rsid w:val="05BB4964"/>
    <w:rsid w:val="05C26718"/>
    <w:rsid w:val="05C67477"/>
    <w:rsid w:val="05D62E8D"/>
    <w:rsid w:val="05DE22B3"/>
    <w:rsid w:val="05DE7F94"/>
    <w:rsid w:val="05E27A84"/>
    <w:rsid w:val="05E57574"/>
    <w:rsid w:val="05E618A1"/>
    <w:rsid w:val="05E875D6"/>
    <w:rsid w:val="05ED6429"/>
    <w:rsid w:val="05F30B80"/>
    <w:rsid w:val="05F71077"/>
    <w:rsid w:val="05F83EAE"/>
    <w:rsid w:val="05FB0B46"/>
    <w:rsid w:val="05FF013B"/>
    <w:rsid w:val="06034AF6"/>
    <w:rsid w:val="060E0879"/>
    <w:rsid w:val="061C159B"/>
    <w:rsid w:val="062464EE"/>
    <w:rsid w:val="06287461"/>
    <w:rsid w:val="062B39CF"/>
    <w:rsid w:val="0634090B"/>
    <w:rsid w:val="06350630"/>
    <w:rsid w:val="063572FF"/>
    <w:rsid w:val="06372749"/>
    <w:rsid w:val="063A5B40"/>
    <w:rsid w:val="063D2F0C"/>
    <w:rsid w:val="063E7D85"/>
    <w:rsid w:val="063F5136"/>
    <w:rsid w:val="06484851"/>
    <w:rsid w:val="06623F0E"/>
    <w:rsid w:val="06654211"/>
    <w:rsid w:val="066C549B"/>
    <w:rsid w:val="066E708E"/>
    <w:rsid w:val="066F749E"/>
    <w:rsid w:val="067262BB"/>
    <w:rsid w:val="067B766E"/>
    <w:rsid w:val="06803E70"/>
    <w:rsid w:val="06874715"/>
    <w:rsid w:val="06890A35"/>
    <w:rsid w:val="06896151"/>
    <w:rsid w:val="068B1EC9"/>
    <w:rsid w:val="06902CE1"/>
    <w:rsid w:val="069B5E85"/>
    <w:rsid w:val="06A17CAA"/>
    <w:rsid w:val="06A31BDD"/>
    <w:rsid w:val="06A72A7B"/>
    <w:rsid w:val="06A94099"/>
    <w:rsid w:val="06B21D6F"/>
    <w:rsid w:val="06B463C7"/>
    <w:rsid w:val="06BA66EA"/>
    <w:rsid w:val="06D33C08"/>
    <w:rsid w:val="06DD5A97"/>
    <w:rsid w:val="06E5154D"/>
    <w:rsid w:val="06EB2968"/>
    <w:rsid w:val="06EE4206"/>
    <w:rsid w:val="06F4424D"/>
    <w:rsid w:val="06F562AB"/>
    <w:rsid w:val="06F739A5"/>
    <w:rsid w:val="06FC1D16"/>
    <w:rsid w:val="06FC67E8"/>
    <w:rsid w:val="070659F4"/>
    <w:rsid w:val="070D4F93"/>
    <w:rsid w:val="07183DF1"/>
    <w:rsid w:val="07230354"/>
    <w:rsid w:val="072560C0"/>
    <w:rsid w:val="07261BF2"/>
    <w:rsid w:val="072627E6"/>
    <w:rsid w:val="07293586"/>
    <w:rsid w:val="07295285"/>
    <w:rsid w:val="07360C22"/>
    <w:rsid w:val="074054D9"/>
    <w:rsid w:val="07473BA1"/>
    <w:rsid w:val="074F1E8B"/>
    <w:rsid w:val="07501127"/>
    <w:rsid w:val="075D1373"/>
    <w:rsid w:val="07636392"/>
    <w:rsid w:val="076D15CF"/>
    <w:rsid w:val="077655A6"/>
    <w:rsid w:val="07770C56"/>
    <w:rsid w:val="0778174E"/>
    <w:rsid w:val="0788005C"/>
    <w:rsid w:val="07891306"/>
    <w:rsid w:val="0793797D"/>
    <w:rsid w:val="079E6471"/>
    <w:rsid w:val="07A55D8A"/>
    <w:rsid w:val="07B90CB8"/>
    <w:rsid w:val="07BC2556"/>
    <w:rsid w:val="07C5140B"/>
    <w:rsid w:val="07D04C3B"/>
    <w:rsid w:val="07E61381"/>
    <w:rsid w:val="07E958A5"/>
    <w:rsid w:val="07F0298E"/>
    <w:rsid w:val="07F86735"/>
    <w:rsid w:val="0804427D"/>
    <w:rsid w:val="080563D9"/>
    <w:rsid w:val="081F67CA"/>
    <w:rsid w:val="08326375"/>
    <w:rsid w:val="08335C09"/>
    <w:rsid w:val="083730DC"/>
    <w:rsid w:val="08395DB4"/>
    <w:rsid w:val="083B791F"/>
    <w:rsid w:val="083C4C11"/>
    <w:rsid w:val="083E124E"/>
    <w:rsid w:val="08536863"/>
    <w:rsid w:val="08543246"/>
    <w:rsid w:val="085E7304"/>
    <w:rsid w:val="086029E1"/>
    <w:rsid w:val="086329D2"/>
    <w:rsid w:val="08690437"/>
    <w:rsid w:val="08766BA9"/>
    <w:rsid w:val="08767346"/>
    <w:rsid w:val="087B5ACF"/>
    <w:rsid w:val="08916C21"/>
    <w:rsid w:val="08935065"/>
    <w:rsid w:val="08974BE4"/>
    <w:rsid w:val="0898267C"/>
    <w:rsid w:val="08A2174C"/>
    <w:rsid w:val="08A65430"/>
    <w:rsid w:val="08B82D1E"/>
    <w:rsid w:val="08C07E24"/>
    <w:rsid w:val="08C66F29"/>
    <w:rsid w:val="08CB2A38"/>
    <w:rsid w:val="08D14CF8"/>
    <w:rsid w:val="08D5567E"/>
    <w:rsid w:val="08D80905"/>
    <w:rsid w:val="08D86F1C"/>
    <w:rsid w:val="08E21B49"/>
    <w:rsid w:val="08E92ED7"/>
    <w:rsid w:val="08EB6C4F"/>
    <w:rsid w:val="08EE04EE"/>
    <w:rsid w:val="08F17F2E"/>
    <w:rsid w:val="08F31FA8"/>
    <w:rsid w:val="08F3453E"/>
    <w:rsid w:val="09030E31"/>
    <w:rsid w:val="09045E8F"/>
    <w:rsid w:val="090D2664"/>
    <w:rsid w:val="090E0B90"/>
    <w:rsid w:val="090F1DF6"/>
    <w:rsid w:val="09175C96"/>
    <w:rsid w:val="091C32AD"/>
    <w:rsid w:val="092217DD"/>
    <w:rsid w:val="092B7994"/>
    <w:rsid w:val="092E12F0"/>
    <w:rsid w:val="093A7294"/>
    <w:rsid w:val="0940337E"/>
    <w:rsid w:val="094176E3"/>
    <w:rsid w:val="094840A2"/>
    <w:rsid w:val="09550169"/>
    <w:rsid w:val="0959332A"/>
    <w:rsid w:val="096229E7"/>
    <w:rsid w:val="0968307A"/>
    <w:rsid w:val="0969126A"/>
    <w:rsid w:val="096A0AF1"/>
    <w:rsid w:val="096B1B3E"/>
    <w:rsid w:val="097A6225"/>
    <w:rsid w:val="0992531D"/>
    <w:rsid w:val="0999724F"/>
    <w:rsid w:val="099C263F"/>
    <w:rsid w:val="09A02994"/>
    <w:rsid w:val="09A86862"/>
    <w:rsid w:val="09AA6B0A"/>
    <w:rsid w:val="09B259BF"/>
    <w:rsid w:val="09BB1BA4"/>
    <w:rsid w:val="09BC2344"/>
    <w:rsid w:val="09C2312A"/>
    <w:rsid w:val="09C66AB3"/>
    <w:rsid w:val="09C851E3"/>
    <w:rsid w:val="09CF27A3"/>
    <w:rsid w:val="09D5361F"/>
    <w:rsid w:val="09D912E5"/>
    <w:rsid w:val="09E25A11"/>
    <w:rsid w:val="09ED4FFC"/>
    <w:rsid w:val="09F55B68"/>
    <w:rsid w:val="09FE0C04"/>
    <w:rsid w:val="0A0106F5"/>
    <w:rsid w:val="0A0249CA"/>
    <w:rsid w:val="0A0468AA"/>
    <w:rsid w:val="0A072E56"/>
    <w:rsid w:val="0A0D00D2"/>
    <w:rsid w:val="0A0D1BC4"/>
    <w:rsid w:val="0A1828F0"/>
    <w:rsid w:val="0A1A3D63"/>
    <w:rsid w:val="0A1B6590"/>
    <w:rsid w:val="0A1E11A5"/>
    <w:rsid w:val="0A1E728C"/>
    <w:rsid w:val="0A2154C7"/>
    <w:rsid w:val="0A246D47"/>
    <w:rsid w:val="0A263993"/>
    <w:rsid w:val="0A291947"/>
    <w:rsid w:val="0A2A37A7"/>
    <w:rsid w:val="0A2C11DF"/>
    <w:rsid w:val="0A2D3298"/>
    <w:rsid w:val="0A2D3AC2"/>
    <w:rsid w:val="0A2E20BA"/>
    <w:rsid w:val="0A3B1807"/>
    <w:rsid w:val="0A535EBF"/>
    <w:rsid w:val="0A590D90"/>
    <w:rsid w:val="0A5D4B24"/>
    <w:rsid w:val="0A606DF7"/>
    <w:rsid w:val="0A6071C9"/>
    <w:rsid w:val="0A6A4D70"/>
    <w:rsid w:val="0A7212E2"/>
    <w:rsid w:val="0A8266CE"/>
    <w:rsid w:val="0A886999"/>
    <w:rsid w:val="0A8B30AD"/>
    <w:rsid w:val="0A953F12"/>
    <w:rsid w:val="0A9D1E5B"/>
    <w:rsid w:val="0AA7304A"/>
    <w:rsid w:val="0AA755DF"/>
    <w:rsid w:val="0AA8389D"/>
    <w:rsid w:val="0AAB029A"/>
    <w:rsid w:val="0AAF08E4"/>
    <w:rsid w:val="0AB42E91"/>
    <w:rsid w:val="0AB97D3C"/>
    <w:rsid w:val="0ABB13EC"/>
    <w:rsid w:val="0ABB50BC"/>
    <w:rsid w:val="0AC04114"/>
    <w:rsid w:val="0AC17D68"/>
    <w:rsid w:val="0AC534D0"/>
    <w:rsid w:val="0AC83F8C"/>
    <w:rsid w:val="0AC97464"/>
    <w:rsid w:val="0ADB0F46"/>
    <w:rsid w:val="0AE7351A"/>
    <w:rsid w:val="0AE91673"/>
    <w:rsid w:val="0AEA2F37"/>
    <w:rsid w:val="0AEE4D47"/>
    <w:rsid w:val="0AF44E52"/>
    <w:rsid w:val="0AF528AA"/>
    <w:rsid w:val="0AF77A0E"/>
    <w:rsid w:val="0AF9042C"/>
    <w:rsid w:val="0AFB0780"/>
    <w:rsid w:val="0B0263EC"/>
    <w:rsid w:val="0B037A59"/>
    <w:rsid w:val="0B0545AA"/>
    <w:rsid w:val="0B106879"/>
    <w:rsid w:val="0B120D44"/>
    <w:rsid w:val="0B12592E"/>
    <w:rsid w:val="0B1879EE"/>
    <w:rsid w:val="0B1F52D6"/>
    <w:rsid w:val="0B2A42F2"/>
    <w:rsid w:val="0B2C17A1"/>
    <w:rsid w:val="0B2F77D2"/>
    <w:rsid w:val="0B3A2110"/>
    <w:rsid w:val="0B405E4C"/>
    <w:rsid w:val="0B4355A1"/>
    <w:rsid w:val="0B505490"/>
    <w:rsid w:val="0B527F93"/>
    <w:rsid w:val="0B5605CC"/>
    <w:rsid w:val="0B576FFF"/>
    <w:rsid w:val="0B5F56D3"/>
    <w:rsid w:val="0B6251C3"/>
    <w:rsid w:val="0B671E77"/>
    <w:rsid w:val="0B674587"/>
    <w:rsid w:val="0B6D6042"/>
    <w:rsid w:val="0B6F418A"/>
    <w:rsid w:val="0B8027D3"/>
    <w:rsid w:val="0B832F5B"/>
    <w:rsid w:val="0B871BC5"/>
    <w:rsid w:val="0B892750"/>
    <w:rsid w:val="0B8E71D6"/>
    <w:rsid w:val="0B974E6D"/>
    <w:rsid w:val="0B9962C4"/>
    <w:rsid w:val="0B9E269F"/>
    <w:rsid w:val="0B9F1F73"/>
    <w:rsid w:val="0BA31ED2"/>
    <w:rsid w:val="0BA63302"/>
    <w:rsid w:val="0BA656E1"/>
    <w:rsid w:val="0BA82E4B"/>
    <w:rsid w:val="0BAC4751"/>
    <w:rsid w:val="0BBA3F0D"/>
    <w:rsid w:val="0BBD192E"/>
    <w:rsid w:val="0BC2653F"/>
    <w:rsid w:val="0BC9435D"/>
    <w:rsid w:val="0BCC6948"/>
    <w:rsid w:val="0BCD4D32"/>
    <w:rsid w:val="0BD065D0"/>
    <w:rsid w:val="0BD13351"/>
    <w:rsid w:val="0BD27BF6"/>
    <w:rsid w:val="0BD5025E"/>
    <w:rsid w:val="0BD534E7"/>
    <w:rsid w:val="0BDD01BA"/>
    <w:rsid w:val="0BE04A65"/>
    <w:rsid w:val="0BE94723"/>
    <w:rsid w:val="0BED0F30"/>
    <w:rsid w:val="0BF31F77"/>
    <w:rsid w:val="0BF366AE"/>
    <w:rsid w:val="0BF40511"/>
    <w:rsid w:val="0BF76F15"/>
    <w:rsid w:val="0BF8322B"/>
    <w:rsid w:val="0BF920F9"/>
    <w:rsid w:val="0BF978D5"/>
    <w:rsid w:val="0BFC1173"/>
    <w:rsid w:val="0C0330AD"/>
    <w:rsid w:val="0C126199"/>
    <w:rsid w:val="0C1464BD"/>
    <w:rsid w:val="0C2024AD"/>
    <w:rsid w:val="0C236700"/>
    <w:rsid w:val="0C2F7BD5"/>
    <w:rsid w:val="0C3B213F"/>
    <w:rsid w:val="0C3B3C7D"/>
    <w:rsid w:val="0C3E178C"/>
    <w:rsid w:val="0C3E628C"/>
    <w:rsid w:val="0C3E79DE"/>
    <w:rsid w:val="0C434FF4"/>
    <w:rsid w:val="0C4D1AFF"/>
    <w:rsid w:val="0C552356"/>
    <w:rsid w:val="0C560E46"/>
    <w:rsid w:val="0C5A20FF"/>
    <w:rsid w:val="0C5C741F"/>
    <w:rsid w:val="0C615C45"/>
    <w:rsid w:val="0C6A7C34"/>
    <w:rsid w:val="0C7156BE"/>
    <w:rsid w:val="0C726DB1"/>
    <w:rsid w:val="0C771A74"/>
    <w:rsid w:val="0C7A2AA1"/>
    <w:rsid w:val="0C7D79D1"/>
    <w:rsid w:val="0C827D93"/>
    <w:rsid w:val="0C8573BB"/>
    <w:rsid w:val="0C9475FE"/>
    <w:rsid w:val="0C963DC8"/>
    <w:rsid w:val="0C9E222B"/>
    <w:rsid w:val="0C9F3642"/>
    <w:rsid w:val="0CA15A80"/>
    <w:rsid w:val="0CAB2EAE"/>
    <w:rsid w:val="0CB02BC1"/>
    <w:rsid w:val="0CB720BC"/>
    <w:rsid w:val="0CBF52C6"/>
    <w:rsid w:val="0CC0720E"/>
    <w:rsid w:val="0CC92A8D"/>
    <w:rsid w:val="0CD45C4C"/>
    <w:rsid w:val="0CD554B9"/>
    <w:rsid w:val="0CDB522D"/>
    <w:rsid w:val="0CED7391"/>
    <w:rsid w:val="0CF83635"/>
    <w:rsid w:val="0CF85DDF"/>
    <w:rsid w:val="0D077DD0"/>
    <w:rsid w:val="0D082C33"/>
    <w:rsid w:val="0D0D3FA0"/>
    <w:rsid w:val="0D134771"/>
    <w:rsid w:val="0D1C4338"/>
    <w:rsid w:val="0D315D14"/>
    <w:rsid w:val="0D35493D"/>
    <w:rsid w:val="0D356825"/>
    <w:rsid w:val="0D391F85"/>
    <w:rsid w:val="0D437366"/>
    <w:rsid w:val="0D4728C2"/>
    <w:rsid w:val="0D4B23B2"/>
    <w:rsid w:val="0D4B44A8"/>
    <w:rsid w:val="0D523741"/>
    <w:rsid w:val="0D621C7D"/>
    <w:rsid w:val="0D6B246E"/>
    <w:rsid w:val="0D790D6D"/>
    <w:rsid w:val="0D7B7026"/>
    <w:rsid w:val="0D7F02AE"/>
    <w:rsid w:val="0D86153B"/>
    <w:rsid w:val="0D8E16AD"/>
    <w:rsid w:val="0D8E6B48"/>
    <w:rsid w:val="0D8F23EC"/>
    <w:rsid w:val="0D906017"/>
    <w:rsid w:val="0DAE39D3"/>
    <w:rsid w:val="0DAF186F"/>
    <w:rsid w:val="0DBB65EF"/>
    <w:rsid w:val="0DBE0870"/>
    <w:rsid w:val="0DCA4D93"/>
    <w:rsid w:val="0DD4167D"/>
    <w:rsid w:val="0DD423A8"/>
    <w:rsid w:val="0DD8176C"/>
    <w:rsid w:val="0DDF052C"/>
    <w:rsid w:val="0DE702ED"/>
    <w:rsid w:val="0DEB5F58"/>
    <w:rsid w:val="0DF070E8"/>
    <w:rsid w:val="0DF40043"/>
    <w:rsid w:val="0DF5231E"/>
    <w:rsid w:val="0DF56A30"/>
    <w:rsid w:val="0DFB570C"/>
    <w:rsid w:val="0DFE7425"/>
    <w:rsid w:val="0E0713C6"/>
    <w:rsid w:val="0E0A4869"/>
    <w:rsid w:val="0E0D0980"/>
    <w:rsid w:val="0E0D58BA"/>
    <w:rsid w:val="0E0F33E0"/>
    <w:rsid w:val="0E0F3852"/>
    <w:rsid w:val="0E172295"/>
    <w:rsid w:val="0E19600D"/>
    <w:rsid w:val="0E197DBB"/>
    <w:rsid w:val="0E1B5B04"/>
    <w:rsid w:val="0E1E7AC7"/>
    <w:rsid w:val="0E2726E7"/>
    <w:rsid w:val="0E2844A2"/>
    <w:rsid w:val="0E2F0980"/>
    <w:rsid w:val="0E3401A0"/>
    <w:rsid w:val="0E372937"/>
    <w:rsid w:val="0E410ED5"/>
    <w:rsid w:val="0E4262F1"/>
    <w:rsid w:val="0E44766D"/>
    <w:rsid w:val="0E466253"/>
    <w:rsid w:val="0E484E69"/>
    <w:rsid w:val="0E4D3F08"/>
    <w:rsid w:val="0E4D6B9D"/>
    <w:rsid w:val="0E580FD3"/>
    <w:rsid w:val="0E5E4367"/>
    <w:rsid w:val="0E616C18"/>
    <w:rsid w:val="0E632B7A"/>
    <w:rsid w:val="0E643E6F"/>
    <w:rsid w:val="0E6B3BB1"/>
    <w:rsid w:val="0E721024"/>
    <w:rsid w:val="0E721BC1"/>
    <w:rsid w:val="0E73034D"/>
    <w:rsid w:val="0E7C57CD"/>
    <w:rsid w:val="0E8A4D61"/>
    <w:rsid w:val="0E8F36C6"/>
    <w:rsid w:val="0E9613AF"/>
    <w:rsid w:val="0E963B01"/>
    <w:rsid w:val="0E9B1118"/>
    <w:rsid w:val="0E9F5B26"/>
    <w:rsid w:val="0EA3627D"/>
    <w:rsid w:val="0EA85BD4"/>
    <w:rsid w:val="0EB02443"/>
    <w:rsid w:val="0EB9334C"/>
    <w:rsid w:val="0EBB5156"/>
    <w:rsid w:val="0EBD2E3C"/>
    <w:rsid w:val="0EBF46DD"/>
    <w:rsid w:val="0EC03D26"/>
    <w:rsid w:val="0EC53962"/>
    <w:rsid w:val="0ED22A7C"/>
    <w:rsid w:val="0ED71A24"/>
    <w:rsid w:val="0ED939EE"/>
    <w:rsid w:val="0EDB59EF"/>
    <w:rsid w:val="0EDD1A84"/>
    <w:rsid w:val="0EE268E6"/>
    <w:rsid w:val="0EEE7499"/>
    <w:rsid w:val="0EFD2C87"/>
    <w:rsid w:val="0F007C5E"/>
    <w:rsid w:val="0F02416A"/>
    <w:rsid w:val="0F032819"/>
    <w:rsid w:val="0F0740B7"/>
    <w:rsid w:val="0F07589E"/>
    <w:rsid w:val="0F0C3DC3"/>
    <w:rsid w:val="0F0C5B71"/>
    <w:rsid w:val="0F0F1F62"/>
    <w:rsid w:val="0F13775A"/>
    <w:rsid w:val="0F1467D4"/>
    <w:rsid w:val="0F1B6A64"/>
    <w:rsid w:val="0F246885"/>
    <w:rsid w:val="0F2D399B"/>
    <w:rsid w:val="0F2E5AE8"/>
    <w:rsid w:val="0F331350"/>
    <w:rsid w:val="0F377734"/>
    <w:rsid w:val="0F380715"/>
    <w:rsid w:val="0F3B4109"/>
    <w:rsid w:val="0F3D21CF"/>
    <w:rsid w:val="0F3F7CF5"/>
    <w:rsid w:val="0F4075C9"/>
    <w:rsid w:val="0F4946D0"/>
    <w:rsid w:val="0F4C68E3"/>
    <w:rsid w:val="0F5F45FE"/>
    <w:rsid w:val="0F65144D"/>
    <w:rsid w:val="0F672DA8"/>
    <w:rsid w:val="0F6A1FB1"/>
    <w:rsid w:val="0F6C4862"/>
    <w:rsid w:val="0F705293"/>
    <w:rsid w:val="0F73799F"/>
    <w:rsid w:val="0F7553A5"/>
    <w:rsid w:val="0F7C2CF7"/>
    <w:rsid w:val="0F825E34"/>
    <w:rsid w:val="0F8D579D"/>
    <w:rsid w:val="0F930041"/>
    <w:rsid w:val="0F9A112B"/>
    <w:rsid w:val="0F9B294A"/>
    <w:rsid w:val="0F9C7CA5"/>
    <w:rsid w:val="0F9D6C80"/>
    <w:rsid w:val="0FAA342C"/>
    <w:rsid w:val="0FB32196"/>
    <w:rsid w:val="0FBB71E9"/>
    <w:rsid w:val="0FC05FDF"/>
    <w:rsid w:val="0FC123F8"/>
    <w:rsid w:val="0FC91CB4"/>
    <w:rsid w:val="0FCD3553"/>
    <w:rsid w:val="0FD209CF"/>
    <w:rsid w:val="0FD527B0"/>
    <w:rsid w:val="0FD7178D"/>
    <w:rsid w:val="0FD7617F"/>
    <w:rsid w:val="0FDA2C88"/>
    <w:rsid w:val="0FDB461A"/>
    <w:rsid w:val="0FDE3C7E"/>
    <w:rsid w:val="0FFD0285"/>
    <w:rsid w:val="10000EB1"/>
    <w:rsid w:val="100F1460"/>
    <w:rsid w:val="101029A4"/>
    <w:rsid w:val="1018374F"/>
    <w:rsid w:val="101A2510"/>
    <w:rsid w:val="101A4747"/>
    <w:rsid w:val="101D00DA"/>
    <w:rsid w:val="101F47AB"/>
    <w:rsid w:val="102B64CB"/>
    <w:rsid w:val="10306C91"/>
    <w:rsid w:val="10390CE5"/>
    <w:rsid w:val="103C2486"/>
    <w:rsid w:val="10473303"/>
    <w:rsid w:val="1052404E"/>
    <w:rsid w:val="105772C0"/>
    <w:rsid w:val="105A2447"/>
    <w:rsid w:val="105C7D18"/>
    <w:rsid w:val="105D2813"/>
    <w:rsid w:val="10687ABD"/>
    <w:rsid w:val="106B6B1F"/>
    <w:rsid w:val="106D2F64"/>
    <w:rsid w:val="106D3FA5"/>
    <w:rsid w:val="10703553"/>
    <w:rsid w:val="107240FA"/>
    <w:rsid w:val="10737284"/>
    <w:rsid w:val="1076214E"/>
    <w:rsid w:val="107D142E"/>
    <w:rsid w:val="1081433D"/>
    <w:rsid w:val="10831E63"/>
    <w:rsid w:val="1083765A"/>
    <w:rsid w:val="10873A01"/>
    <w:rsid w:val="109020DE"/>
    <w:rsid w:val="10991687"/>
    <w:rsid w:val="109C7047"/>
    <w:rsid w:val="10A342B4"/>
    <w:rsid w:val="10B63710"/>
    <w:rsid w:val="10BB33AB"/>
    <w:rsid w:val="10BB53E9"/>
    <w:rsid w:val="10BD2B27"/>
    <w:rsid w:val="10BF2F96"/>
    <w:rsid w:val="10C012DF"/>
    <w:rsid w:val="10CA7A92"/>
    <w:rsid w:val="10E741A0"/>
    <w:rsid w:val="10EA1914"/>
    <w:rsid w:val="10EB055E"/>
    <w:rsid w:val="10EE19D3"/>
    <w:rsid w:val="10F10820"/>
    <w:rsid w:val="10F72C84"/>
    <w:rsid w:val="10FA53DA"/>
    <w:rsid w:val="11050739"/>
    <w:rsid w:val="11064BCD"/>
    <w:rsid w:val="11072A94"/>
    <w:rsid w:val="110A159B"/>
    <w:rsid w:val="110A4333"/>
    <w:rsid w:val="110E3E23"/>
    <w:rsid w:val="11131439"/>
    <w:rsid w:val="11134310"/>
    <w:rsid w:val="111807FE"/>
    <w:rsid w:val="11196324"/>
    <w:rsid w:val="111C2F7A"/>
    <w:rsid w:val="112315F5"/>
    <w:rsid w:val="112A199E"/>
    <w:rsid w:val="11301FEB"/>
    <w:rsid w:val="11360C84"/>
    <w:rsid w:val="11650733"/>
    <w:rsid w:val="11665CA1"/>
    <w:rsid w:val="11680DD2"/>
    <w:rsid w:val="116A6B7F"/>
    <w:rsid w:val="116D4255"/>
    <w:rsid w:val="11717F0E"/>
    <w:rsid w:val="1173118E"/>
    <w:rsid w:val="11755ABF"/>
    <w:rsid w:val="11763CDE"/>
    <w:rsid w:val="118063A3"/>
    <w:rsid w:val="11872523"/>
    <w:rsid w:val="1193538F"/>
    <w:rsid w:val="119774F6"/>
    <w:rsid w:val="11987B90"/>
    <w:rsid w:val="119A494E"/>
    <w:rsid w:val="119C07F3"/>
    <w:rsid w:val="11A86713"/>
    <w:rsid w:val="11A907FD"/>
    <w:rsid w:val="11A927D6"/>
    <w:rsid w:val="11A976A8"/>
    <w:rsid w:val="11B5604C"/>
    <w:rsid w:val="11B71AE1"/>
    <w:rsid w:val="11BF3E65"/>
    <w:rsid w:val="11CA16F0"/>
    <w:rsid w:val="11D861DF"/>
    <w:rsid w:val="11DA3D05"/>
    <w:rsid w:val="11DB182B"/>
    <w:rsid w:val="11E15EEF"/>
    <w:rsid w:val="11EC57E6"/>
    <w:rsid w:val="11EE155E"/>
    <w:rsid w:val="11F0257D"/>
    <w:rsid w:val="11F30035"/>
    <w:rsid w:val="11F36B75"/>
    <w:rsid w:val="120174E4"/>
    <w:rsid w:val="12072EA1"/>
    <w:rsid w:val="120D5E88"/>
    <w:rsid w:val="120E5817"/>
    <w:rsid w:val="120F62CD"/>
    <w:rsid w:val="121553CD"/>
    <w:rsid w:val="121D1E44"/>
    <w:rsid w:val="122A20D5"/>
    <w:rsid w:val="122B329B"/>
    <w:rsid w:val="12303925"/>
    <w:rsid w:val="123125E7"/>
    <w:rsid w:val="123E490D"/>
    <w:rsid w:val="124F46F3"/>
    <w:rsid w:val="125515DD"/>
    <w:rsid w:val="126E57C4"/>
    <w:rsid w:val="127001C5"/>
    <w:rsid w:val="12706417"/>
    <w:rsid w:val="1275381C"/>
    <w:rsid w:val="127E6D3B"/>
    <w:rsid w:val="12851EC3"/>
    <w:rsid w:val="12990B2C"/>
    <w:rsid w:val="129A0499"/>
    <w:rsid w:val="129D1964"/>
    <w:rsid w:val="129F1B92"/>
    <w:rsid w:val="12A92022"/>
    <w:rsid w:val="12B436C9"/>
    <w:rsid w:val="12B44556"/>
    <w:rsid w:val="12B837B8"/>
    <w:rsid w:val="12B94D65"/>
    <w:rsid w:val="12BE7183"/>
    <w:rsid w:val="12C0114D"/>
    <w:rsid w:val="12CB126D"/>
    <w:rsid w:val="12CD19E8"/>
    <w:rsid w:val="12DA6681"/>
    <w:rsid w:val="12E34E3B"/>
    <w:rsid w:val="12E52961"/>
    <w:rsid w:val="12E5771D"/>
    <w:rsid w:val="12EA7F78"/>
    <w:rsid w:val="12F20EA2"/>
    <w:rsid w:val="12F91959"/>
    <w:rsid w:val="12FB3F33"/>
    <w:rsid w:val="12FE1C75"/>
    <w:rsid w:val="13027E32"/>
    <w:rsid w:val="13053004"/>
    <w:rsid w:val="130B7F89"/>
    <w:rsid w:val="130C2A2C"/>
    <w:rsid w:val="13136EB0"/>
    <w:rsid w:val="131B1D32"/>
    <w:rsid w:val="131E0060"/>
    <w:rsid w:val="13224518"/>
    <w:rsid w:val="132A2A6A"/>
    <w:rsid w:val="132E5FB5"/>
    <w:rsid w:val="133425A8"/>
    <w:rsid w:val="133A3F73"/>
    <w:rsid w:val="134578A4"/>
    <w:rsid w:val="13467207"/>
    <w:rsid w:val="134A0D0C"/>
    <w:rsid w:val="13547AE7"/>
    <w:rsid w:val="135D699C"/>
    <w:rsid w:val="136256D9"/>
    <w:rsid w:val="13653AA2"/>
    <w:rsid w:val="13685836"/>
    <w:rsid w:val="136A2007"/>
    <w:rsid w:val="136C4B09"/>
    <w:rsid w:val="136C6BDF"/>
    <w:rsid w:val="136D1B30"/>
    <w:rsid w:val="13772464"/>
    <w:rsid w:val="1379754E"/>
    <w:rsid w:val="137A1B8E"/>
    <w:rsid w:val="13806D6D"/>
    <w:rsid w:val="13833F28"/>
    <w:rsid w:val="138578B7"/>
    <w:rsid w:val="13887C79"/>
    <w:rsid w:val="13901239"/>
    <w:rsid w:val="13951726"/>
    <w:rsid w:val="13954387"/>
    <w:rsid w:val="13961FF1"/>
    <w:rsid w:val="13963C5C"/>
    <w:rsid w:val="139766AA"/>
    <w:rsid w:val="13B13CDC"/>
    <w:rsid w:val="13B23A37"/>
    <w:rsid w:val="13B85EEF"/>
    <w:rsid w:val="13BD2135"/>
    <w:rsid w:val="13C61F6C"/>
    <w:rsid w:val="13C660FD"/>
    <w:rsid w:val="13C821BD"/>
    <w:rsid w:val="13D00AD3"/>
    <w:rsid w:val="13D72FB5"/>
    <w:rsid w:val="13D84274"/>
    <w:rsid w:val="13E140BA"/>
    <w:rsid w:val="13E32F39"/>
    <w:rsid w:val="13E470BD"/>
    <w:rsid w:val="13F736E5"/>
    <w:rsid w:val="13FA7672"/>
    <w:rsid w:val="13FB7F63"/>
    <w:rsid w:val="13FE476E"/>
    <w:rsid w:val="14074B59"/>
    <w:rsid w:val="140908D1"/>
    <w:rsid w:val="141A5AA2"/>
    <w:rsid w:val="141C0605"/>
    <w:rsid w:val="14237BE5"/>
    <w:rsid w:val="1424395D"/>
    <w:rsid w:val="14305E5E"/>
    <w:rsid w:val="143516C6"/>
    <w:rsid w:val="14396509"/>
    <w:rsid w:val="14447B5C"/>
    <w:rsid w:val="144B2C98"/>
    <w:rsid w:val="14522278"/>
    <w:rsid w:val="14531B4D"/>
    <w:rsid w:val="145854BE"/>
    <w:rsid w:val="145A2EDB"/>
    <w:rsid w:val="14671716"/>
    <w:rsid w:val="146803AB"/>
    <w:rsid w:val="146B1517"/>
    <w:rsid w:val="146F2E2A"/>
    <w:rsid w:val="14700951"/>
    <w:rsid w:val="14741DE5"/>
    <w:rsid w:val="147B11B6"/>
    <w:rsid w:val="147B46F0"/>
    <w:rsid w:val="147E1B90"/>
    <w:rsid w:val="147F73C1"/>
    <w:rsid w:val="14863CD0"/>
    <w:rsid w:val="148D6255"/>
    <w:rsid w:val="148D685F"/>
    <w:rsid w:val="148E7815"/>
    <w:rsid w:val="149503B7"/>
    <w:rsid w:val="149A0554"/>
    <w:rsid w:val="14A01D31"/>
    <w:rsid w:val="14A10B0A"/>
    <w:rsid w:val="14AA20B4"/>
    <w:rsid w:val="14AE7D38"/>
    <w:rsid w:val="14AF1479"/>
    <w:rsid w:val="14B31781"/>
    <w:rsid w:val="14B4083D"/>
    <w:rsid w:val="14B85273"/>
    <w:rsid w:val="14BC3B96"/>
    <w:rsid w:val="14C34F24"/>
    <w:rsid w:val="14C53657"/>
    <w:rsid w:val="14C56911"/>
    <w:rsid w:val="14C667C2"/>
    <w:rsid w:val="14D51E11"/>
    <w:rsid w:val="14DD2C3C"/>
    <w:rsid w:val="14E153AA"/>
    <w:rsid w:val="14E17205"/>
    <w:rsid w:val="14E25DB2"/>
    <w:rsid w:val="14EC6D59"/>
    <w:rsid w:val="14F441AB"/>
    <w:rsid w:val="14FE5F5C"/>
    <w:rsid w:val="15035321"/>
    <w:rsid w:val="15050804"/>
    <w:rsid w:val="1506535C"/>
    <w:rsid w:val="15082937"/>
    <w:rsid w:val="1514752E"/>
    <w:rsid w:val="15192D96"/>
    <w:rsid w:val="15227D11"/>
    <w:rsid w:val="1525798D"/>
    <w:rsid w:val="1529799F"/>
    <w:rsid w:val="15324309"/>
    <w:rsid w:val="153411E3"/>
    <w:rsid w:val="15355BC6"/>
    <w:rsid w:val="15364F85"/>
    <w:rsid w:val="15383BBC"/>
    <w:rsid w:val="153951E6"/>
    <w:rsid w:val="1541735B"/>
    <w:rsid w:val="154222ED"/>
    <w:rsid w:val="15581AEC"/>
    <w:rsid w:val="155B515D"/>
    <w:rsid w:val="15634011"/>
    <w:rsid w:val="15696048"/>
    <w:rsid w:val="15883A78"/>
    <w:rsid w:val="159F11E4"/>
    <w:rsid w:val="15A5462A"/>
    <w:rsid w:val="15AC3C0A"/>
    <w:rsid w:val="15AE34DE"/>
    <w:rsid w:val="15B50103"/>
    <w:rsid w:val="15B50D11"/>
    <w:rsid w:val="15B605E5"/>
    <w:rsid w:val="15B64436"/>
    <w:rsid w:val="15B91E83"/>
    <w:rsid w:val="15BB2652"/>
    <w:rsid w:val="15BD4CA7"/>
    <w:rsid w:val="15C56A7A"/>
    <w:rsid w:val="15CA22E2"/>
    <w:rsid w:val="15CB7307"/>
    <w:rsid w:val="15CC56FD"/>
    <w:rsid w:val="15D21F9F"/>
    <w:rsid w:val="15D70C82"/>
    <w:rsid w:val="15DB4559"/>
    <w:rsid w:val="15E2293C"/>
    <w:rsid w:val="15E36E98"/>
    <w:rsid w:val="15E56E7F"/>
    <w:rsid w:val="15EA028F"/>
    <w:rsid w:val="15EE5FD1"/>
    <w:rsid w:val="15F114F2"/>
    <w:rsid w:val="15F62CE3"/>
    <w:rsid w:val="16021F04"/>
    <w:rsid w:val="160475A2"/>
    <w:rsid w:val="16076BC3"/>
    <w:rsid w:val="16087E1D"/>
    <w:rsid w:val="16104199"/>
    <w:rsid w:val="1616512F"/>
    <w:rsid w:val="161950F5"/>
    <w:rsid w:val="16201F02"/>
    <w:rsid w:val="16287735"/>
    <w:rsid w:val="163634D4"/>
    <w:rsid w:val="16383E2D"/>
    <w:rsid w:val="163C57D6"/>
    <w:rsid w:val="164E6DBD"/>
    <w:rsid w:val="1651030E"/>
    <w:rsid w:val="1656442B"/>
    <w:rsid w:val="16571DC8"/>
    <w:rsid w:val="165A47FD"/>
    <w:rsid w:val="16640041"/>
    <w:rsid w:val="16691AFB"/>
    <w:rsid w:val="166938A9"/>
    <w:rsid w:val="166B7621"/>
    <w:rsid w:val="16726C02"/>
    <w:rsid w:val="167504A0"/>
    <w:rsid w:val="167A5AB7"/>
    <w:rsid w:val="167D37EB"/>
    <w:rsid w:val="167E13FA"/>
    <w:rsid w:val="167E2E84"/>
    <w:rsid w:val="168054EB"/>
    <w:rsid w:val="1682460C"/>
    <w:rsid w:val="16893F4C"/>
    <w:rsid w:val="16900586"/>
    <w:rsid w:val="169125C5"/>
    <w:rsid w:val="16985CE2"/>
    <w:rsid w:val="169B3F7C"/>
    <w:rsid w:val="169E5E80"/>
    <w:rsid w:val="16A06A0A"/>
    <w:rsid w:val="16A44B0E"/>
    <w:rsid w:val="16AD19E8"/>
    <w:rsid w:val="16B8213B"/>
    <w:rsid w:val="16C64858"/>
    <w:rsid w:val="16D52CED"/>
    <w:rsid w:val="16DA6555"/>
    <w:rsid w:val="16DB6E00"/>
    <w:rsid w:val="16DD4C95"/>
    <w:rsid w:val="16E6314C"/>
    <w:rsid w:val="16F24E26"/>
    <w:rsid w:val="16F76F14"/>
    <w:rsid w:val="1707509D"/>
    <w:rsid w:val="170B4961"/>
    <w:rsid w:val="170F36B3"/>
    <w:rsid w:val="17233A97"/>
    <w:rsid w:val="172A3039"/>
    <w:rsid w:val="172F4AF3"/>
    <w:rsid w:val="17332AA7"/>
    <w:rsid w:val="17345C65"/>
    <w:rsid w:val="1740460A"/>
    <w:rsid w:val="174A36DB"/>
    <w:rsid w:val="174C65D6"/>
    <w:rsid w:val="174F2A9F"/>
    <w:rsid w:val="17546308"/>
    <w:rsid w:val="17604918"/>
    <w:rsid w:val="1763654B"/>
    <w:rsid w:val="176373F2"/>
    <w:rsid w:val="17701D14"/>
    <w:rsid w:val="17735226"/>
    <w:rsid w:val="17760503"/>
    <w:rsid w:val="17780248"/>
    <w:rsid w:val="177C13BA"/>
    <w:rsid w:val="177C7612"/>
    <w:rsid w:val="1781719E"/>
    <w:rsid w:val="17845957"/>
    <w:rsid w:val="17863AFE"/>
    <w:rsid w:val="17887D5F"/>
    <w:rsid w:val="178F0141"/>
    <w:rsid w:val="178F5A13"/>
    <w:rsid w:val="17910EC4"/>
    <w:rsid w:val="179360FF"/>
    <w:rsid w:val="179606CE"/>
    <w:rsid w:val="17976832"/>
    <w:rsid w:val="179C751B"/>
    <w:rsid w:val="17A4103D"/>
    <w:rsid w:val="17A72D11"/>
    <w:rsid w:val="17AA4179"/>
    <w:rsid w:val="17AC1CA0"/>
    <w:rsid w:val="17AC6821"/>
    <w:rsid w:val="17B0744F"/>
    <w:rsid w:val="17B6497A"/>
    <w:rsid w:val="17C52693"/>
    <w:rsid w:val="17C70888"/>
    <w:rsid w:val="17CE4566"/>
    <w:rsid w:val="17CE7D87"/>
    <w:rsid w:val="17DE4CC0"/>
    <w:rsid w:val="17DF41BA"/>
    <w:rsid w:val="17E52FB0"/>
    <w:rsid w:val="17E539EF"/>
    <w:rsid w:val="17EE4066"/>
    <w:rsid w:val="17F67E8D"/>
    <w:rsid w:val="18075128"/>
    <w:rsid w:val="18090EA0"/>
    <w:rsid w:val="180970F2"/>
    <w:rsid w:val="18102914"/>
    <w:rsid w:val="181B5077"/>
    <w:rsid w:val="18215B95"/>
    <w:rsid w:val="182801E2"/>
    <w:rsid w:val="18297794"/>
    <w:rsid w:val="182A7068"/>
    <w:rsid w:val="182B350C"/>
    <w:rsid w:val="182F0322"/>
    <w:rsid w:val="18320C9D"/>
    <w:rsid w:val="1837333B"/>
    <w:rsid w:val="183C4300"/>
    <w:rsid w:val="1840063A"/>
    <w:rsid w:val="1841697B"/>
    <w:rsid w:val="18527B02"/>
    <w:rsid w:val="185D743E"/>
    <w:rsid w:val="186110F3"/>
    <w:rsid w:val="186500A0"/>
    <w:rsid w:val="186B56B7"/>
    <w:rsid w:val="187C78C4"/>
    <w:rsid w:val="18842C1C"/>
    <w:rsid w:val="188D3BBA"/>
    <w:rsid w:val="189129B5"/>
    <w:rsid w:val="1891454B"/>
    <w:rsid w:val="18931D85"/>
    <w:rsid w:val="189866C8"/>
    <w:rsid w:val="18992048"/>
    <w:rsid w:val="189A63C2"/>
    <w:rsid w:val="189F624C"/>
    <w:rsid w:val="18A3774D"/>
    <w:rsid w:val="18AD5847"/>
    <w:rsid w:val="18B74DA0"/>
    <w:rsid w:val="18BD24FA"/>
    <w:rsid w:val="18C8597D"/>
    <w:rsid w:val="18C96881"/>
    <w:rsid w:val="18D41807"/>
    <w:rsid w:val="18DF60A5"/>
    <w:rsid w:val="18E76C70"/>
    <w:rsid w:val="18E831AB"/>
    <w:rsid w:val="18EA4F2A"/>
    <w:rsid w:val="18EF35B9"/>
    <w:rsid w:val="18F06FEA"/>
    <w:rsid w:val="18FA0D38"/>
    <w:rsid w:val="18FE156A"/>
    <w:rsid w:val="19026D0F"/>
    <w:rsid w:val="19044600"/>
    <w:rsid w:val="190743E2"/>
    <w:rsid w:val="190C4538"/>
    <w:rsid w:val="19103BF0"/>
    <w:rsid w:val="19137AFC"/>
    <w:rsid w:val="19157D18"/>
    <w:rsid w:val="191B532F"/>
    <w:rsid w:val="192E572C"/>
    <w:rsid w:val="19322D86"/>
    <w:rsid w:val="19324427"/>
    <w:rsid w:val="193E2DCB"/>
    <w:rsid w:val="193E726F"/>
    <w:rsid w:val="194B455F"/>
    <w:rsid w:val="19591061"/>
    <w:rsid w:val="195A6F83"/>
    <w:rsid w:val="195B1BCF"/>
    <w:rsid w:val="195E521C"/>
    <w:rsid w:val="19614357"/>
    <w:rsid w:val="196565AA"/>
    <w:rsid w:val="197015B9"/>
    <w:rsid w:val="19771F14"/>
    <w:rsid w:val="197B4862"/>
    <w:rsid w:val="197D7D98"/>
    <w:rsid w:val="19874772"/>
    <w:rsid w:val="198F571B"/>
    <w:rsid w:val="199777FA"/>
    <w:rsid w:val="19B0054C"/>
    <w:rsid w:val="19B263B5"/>
    <w:rsid w:val="19B30FBA"/>
    <w:rsid w:val="19B72B7E"/>
    <w:rsid w:val="19B84A2A"/>
    <w:rsid w:val="19B968F6"/>
    <w:rsid w:val="19B97B0F"/>
    <w:rsid w:val="19BD4283"/>
    <w:rsid w:val="19BE409C"/>
    <w:rsid w:val="19C01A32"/>
    <w:rsid w:val="19CD39B3"/>
    <w:rsid w:val="19DB686C"/>
    <w:rsid w:val="19DD3219"/>
    <w:rsid w:val="19E66E20"/>
    <w:rsid w:val="19E8697B"/>
    <w:rsid w:val="19EB7DE7"/>
    <w:rsid w:val="19EF7FAE"/>
    <w:rsid w:val="19F20331"/>
    <w:rsid w:val="19F669B3"/>
    <w:rsid w:val="1A03331B"/>
    <w:rsid w:val="1A0E6C42"/>
    <w:rsid w:val="1A143E8C"/>
    <w:rsid w:val="1A147FD0"/>
    <w:rsid w:val="1A1C66C0"/>
    <w:rsid w:val="1A1F352D"/>
    <w:rsid w:val="1A2024D1"/>
    <w:rsid w:val="1A22514C"/>
    <w:rsid w:val="1A2906E6"/>
    <w:rsid w:val="1A2A3350"/>
    <w:rsid w:val="1A3366A8"/>
    <w:rsid w:val="1A36575C"/>
    <w:rsid w:val="1A3B37AF"/>
    <w:rsid w:val="1A3F1112"/>
    <w:rsid w:val="1A42393B"/>
    <w:rsid w:val="1A462050"/>
    <w:rsid w:val="1A491A28"/>
    <w:rsid w:val="1A495ECC"/>
    <w:rsid w:val="1A4A7A8A"/>
    <w:rsid w:val="1A4D7820"/>
    <w:rsid w:val="1A517CD1"/>
    <w:rsid w:val="1A5D3725"/>
    <w:rsid w:val="1A692A86"/>
    <w:rsid w:val="1A6D014C"/>
    <w:rsid w:val="1A7445F0"/>
    <w:rsid w:val="1A765685"/>
    <w:rsid w:val="1A7F369B"/>
    <w:rsid w:val="1A8405A2"/>
    <w:rsid w:val="1A853058"/>
    <w:rsid w:val="1A895BE8"/>
    <w:rsid w:val="1A8962C8"/>
    <w:rsid w:val="1A8C7F7B"/>
    <w:rsid w:val="1A8E1B30"/>
    <w:rsid w:val="1A9C3DE6"/>
    <w:rsid w:val="1A9E31F3"/>
    <w:rsid w:val="1AA01DDA"/>
    <w:rsid w:val="1AA57230"/>
    <w:rsid w:val="1AA65C59"/>
    <w:rsid w:val="1AAD45DE"/>
    <w:rsid w:val="1AB14D14"/>
    <w:rsid w:val="1AB772D9"/>
    <w:rsid w:val="1AC13CB4"/>
    <w:rsid w:val="1AC42858"/>
    <w:rsid w:val="1AC479CE"/>
    <w:rsid w:val="1ACB53FC"/>
    <w:rsid w:val="1AD1778E"/>
    <w:rsid w:val="1AD52794"/>
    <w:rsid w:val="1AD6339F"/>
    <w:rsid w:val="1AD80856"/>
    <w:rsid w:val="1ADA1C2F"/>
    <w:rsid w:val="1ADF413A"/>
    <w:rsid w:val="1AE16104"/>
    <w:rsid w:val="1AE856E5"/>
    <w:rsid w:val="1AE97817"/>
    <w:rsid w:val="1AEE25CF"/>
    <w:rsid w:val="1AFF2A2E"/>
    <w:rsid w:val="1B0400EE"/>
    <w:rsid w:val="1B046F80"/>
    <w:rsid w:val="1B063FD4"/>
    <w:rsid w:val="1B076B69"/>
    <w:rsid w:val="1B24032D"/>
    <w:rsid w:val="1B3267B5"/>
    <w:rsid w:val="1B3C6D12"/>
    <w:rsid w:val="1B40161D"/>
    <w:rsid w:val="1B440441"/>
    <w:rsid w:val="1B441859"/>
    <w:rsid w:val="1B4D5548"/>
    <w:rsid w:val="1B514FFD"/>
    <w:rsid w:val="1B530684"/>
    <w:rsid w:val="1B6603B7"/>
    <w:rsid w:val="1B6606B1"/>
    <w:rsid w:val="1B665383"/>
    <w:rsid w:val="1B6805D3"/>
    <w:rsid w:val="1B707FD2"/>
    <w:rsid w:val="1B776CAF"/>
    <w:rsid w:val="1B806BD7"/>
    <w:rsid w:val="1B811105"/>
    <w:rsid w:val="1B8561C6"/>
    <w:rsid w:val="1B88172B"/>
    <w:rsid w:val="1B8829C3"/>
    <w:rsid w:val="1B9211AC"/>
    <w:rsid w:val="1B9A62B3"/>
    <w:rsid w:val="1BA3785E"/>
    <w:rsid w:val="1BA64C58"/>
    <w:rsid w:val="1BAA3CE7"/>
    <w:rsid w:val="1BAC6712"/>
    <w:rsid w:val="1BBA13E8"/>
    <w:rsid w:val="1BBB3F42"/>
    <w:rsid w:val="1BC7354C"/>
    <w:rsid w:val="1BCB46BE"/>
    <w:rsid w:val="1BCD48DA"/>
    <w:rsid w:val="1BCD6901"/>
    <w:rsid w:val="1BE116BD"/>
    <w:rsid w:val="1BE13EE2"/>
    <w:rsid w:val="1BE5210E"/>
    <w:rsid w:val="1BED2887"/>
    <w:rsid w:val="1BF43C15"/>
    <w:rsid w:val="1BFE2CE6"/>
    <w:rsid w:val="1C025786"/>
    <w:rsid w:val="1C0978CE"/>
    <w:rsid w:val="1C0C2098"/>
    <w:rsid w:val="1C0C71B1"/>
    <w:rsid w:val="1C0E117B"/>
    <w:rsid w:val="1C0E318E"/>
    <w:rsid w:val="1C136791"/>
    <w:rsid w:val="1C197B20"/>
    <w:rsid w:val="1C1F3B08"/>
    <w:rsid w:val="1C295E4D"/>
    <w:rsid w:val="1C2F637F"/>
    <w:rsid w:val="1C3530AD"/>
    <w:rsid w:val="1C4032FE"/>
    <w:rsid w:val="1C4B03F2"/>
    <w:rsid w:val="1C4E2785"/>
    <w:rsid w:val="1C584A49"/>
    <w:rsid w:val="1C5D09CD"/>
    <w:rsid w:val="1C5E7925"/>
    <w:rsid w:val="1C5F2CD0"/>
    <w:rsid w:val="1C6D0039"/>
    <w:rsid w:val="1C735482"/>
    <w:rsid w:val="1C766E06"/>
    <w:rsid w:val="1C817B9F"/>
    <w:rsid w:val="1C8518B4"/>
    <w:rsid w:val="1C8526DE"/>
    <w:rsid w:val="1C883DC4"/>
    <w:rsid w:val="1C8C2A34"/>
    <w:rsid w:val="1C9A71BB"/>
    <w:rsid w:val="1CA76EDA"/>
    <w:rsid w:val="1CAD676F"/>
    <w:rsid w:val="1CB10936"/>
    <w:rsid w:val="1CB3075B"/>
    <w:rsid w:val="1CB52A92"/>
    <w:rsid w:val="1CB819AA"/>
    <w:rsid w:val="1CBD66FD"/>
    <w:rsid w:val="1CC01D49"/>
    <w:rsid w:val="1CC169D4"/>
    <w:rsid w:val="1CC932F4"/>
    <w:rsid w:val="1CCD048F"/>
    <w:rsid w:val="1CCD34F7"/>
    <w:rsid w:val="1CCF2EDF"/>
    <w:rsid w:val="1CD06430"/>
    <w:rsid w:val="1CE0094F"/>
    <w:rsid w:val="1CE05842"/>
    <w:rsid w:val="1CE67250"/>
    <w:rsid w:val="1CE7377A"/>
    <w:rsid w:val="1CE819CC"/>
    <w:rsid w:val="1CEC6CD0"/>
    <w:rsid w:val="1CF825FB"/>
    <w:rsid w:val="1CFA16FF"/>
    <w:rsid w:val="1CFD070F"/>
    <w:rsid w:val="1D0B638B"/>
    <w:rsid w:val="1D0E51AB"/>
    <w:rsid w:val="1D0F25D4"/>
    <w:rsid w:val="1D1125A5"/>
    <w:rsid w:val="1D157CE7"/>
    <w:rsid w:val="1D162A2F"/>
    <w:rsid w:val="1D1E3640"/>
    <w:rsid w:val="1D23677D"/>
    <w:rsid w:val="1D276460"/>
    <w:rsid w:val="1D2C6C34"/>
    <w:rsid w:val="1D3445E0"/>
    <w:rsid w:val="1D3A5422"/>
    <w:rsid w:val="1D4330A6"/>
    <w:rsid w:val="1D464944"/>
    <w:rsid w:val="1D475BD5"/>
    <w:rsid w:val="1D4961E3"/>
    <w:rsid w:val="1D53069B"/>
    <w:rsid w:val="1D540F6D"/>
    <w:rsid w:val="1D586CEA"/>
    <w:rsid w:val="1D5F1562"/>
    <w:rsid w:val="1D5F6196"/>
    <w:rsid w:val="1D6132A5"/>
    <w:rsid w:val="1D6360F8"/>
    <w:rsid w:val="1D6848BB"/>
    <w:rsid w:val="1D687588"/>
    <w:rsid w:val="1D743260"/>
    <w:rsid w:val="1D79260A"/>
    <w:rsid w:val="1D7A639C"/>
    <w:rsid w:val="1D807E56"/>
    <w:rsid w:val="1D85523C"/>
    <w:rsid w:val="1D8611E5"/>
    <w:rsid w:val="1D8B2357"/>
    <w:rsid w:val="1D8D4321"/>
    <w:rsid w:val="1D8E56D5"/>
    <w:rsid w:val="1D90321E"/>
    <w:rsid w:val="1D965739"/>
    <w:rsid w:val="1D9E43C1"/>
    <w:rsid w:val="1D9F5E03"/>
    <w:rsid w:val="1DAB73AD"/>
    <w:rsid w:val="1DB03E33"/>
    <w:rsid w:val="1DB414BC"/>
    <w:rsid w:val="1DB4365C"/>
    <w:rsid w:val="1DB727BB"/>
    <w:rsid w:val="1DC14274"/>
    <w:rsid w:val="1DCA2E34"/>
    <w:rsid w:val="1DD0420E"/>
    <w:rsid w:val="1DD755B8"/>
    <w:rsid w:val="1DDF511A"/>
    <w:rsid w:val="1DE254BA"/>
    <w:rsid w:val="1DE33D5D"/>
    <w:rsid w:val="1DE33E65"/>
    <w:rsid w:val="1DEC729A"/>
    <w:rsid w:val="1DF779ED"/>
    <w:rsid w:val="1E1218B8"/>
    <w:rsid w:val="1E1274C6"/>
    <w:rsid w:val="1E1837C3"/>
    <w:rsid w:val="1E1B7B7F"/>
    <w:rsid w:val="1E1C35D8"/>
    <w:rsid w:val="1E1C72EB"/>
    <w:rsid w:val="1E226E32"/>
    <w:rsid w:val="1E2A7CF7"/>
    <w:rsid w:val="1E34245A"/>
    <w:rsid w:val="1E366767"/>
    <w:rsid w:val="1E3B1FCF"/>
    <w:rsid w:val="1E3E386E"/>
    <w:rsid w:val="1E3E5A22"/>
    <w:rsid w:val="1E450758"/>
    <w:rsid w:val="1E4513DB"/>
    <w:rsid w:val="1E456A90"/>
    <w:rsid w:val="1E4E3AB1"/>
    <w:rsid w:val="1E4F2EAF"/>
    <w:rsid w:val="1E546BED"/>
    <w:rsid w:val="1E5B0C97"/>
    <w:rsid w:val="1E696B3C"/>
    <w:rsid w:val="1E6F3A27"/>
    <w:rsid w:val="1E7A43DA"/>
    <w:rsid w:val="1E8C282B"/>
    <w:rsid w:val="1E8D5589"/>
    <w:rsid w:val="1E8F40C9"/>
    <w:rsid w:val="1E900ECB"/>
    <w:rsid w:val="1E9E34F5"/>
    <w:rsid w:val="1EA27958"/>
    <w:rsid w:val="1EAE27A1"/>
    <w:rsid w:val="1EB15CC1"/>
    <w:rsid w:val="1EB24A2E"/>
    <w:rsid w:val="1EBD29E4"/>
    <w:rsid w:val="1EBD4B57"/>
    <w:rsid w:val="1EC2012F"/>
    <w:rsid w:val="1EC61F56"/>
    <w:rsid w:val="1ED44D21"/>
    <w:rsid w:val="1EDA3462"/>
    <w:rsid w:val="1EE11600"/>
    <w:rsid w:val="1EE73F05"/>
    <w:rsid w:val="1EE7475A"/>
    <w:rsid w:val="1EEE101F"/>
    <w:rsid w:val="1EFE379E"/>
    <w:rsid w:val="1F01577D"/>
    <w:rsid w:val="1F02742A"/>
    <w:rsid w:val="1F0C571A"/>
    <w:rsid w:val="1F111290"/>
    <w:rsid w:val="1F1741D3"/>
    <w:rsid w:val="1F18526B"/>
    <w:rsid w:val="1F240354"/>
    <w:rsid w:val="1F303D05"/>
    <w:rsid w:val="1F334A54"/>
    <w:rsid w:val="1F391D56"/>
    <w:rsid w:val="1F490320"/>
    <w:rsid w:val="1F4D795D"/>
    <w:rsid w:val="1F4E188E"/>
    <w:rsid w:val="1F51483A"/>
    <w:rsid w:val="1F5165D7"/>
    <w:rsid w:val="1F5A6DEE"/>
    <w:rsid w:val="1F60296D"/>
    <w:rsid w:val="1F617ECD"/>
    <w:rsid w:val="1F68403B"/>
    <w:rsid w:val="1F737547"/>
    <w:rsid w:val="1F777037"/>
    <w:rsid w:val="1F7E03C6"/>
    <w:rsid w:val="1F7F5EEC"/>
    <w:rsid w:val="1F8236A5"/>
    <w:rsid w:val="1F827C6F"/>
    <w:rsid w:val="1F871290"/>
    <w:rsid w:val="1F892EAF"/>
    <w:rsid w:val="1F8C0280"/>
    <w:rsid w:val="1FA137E2"/>
    <w:rsid w:val="1FA15E62"/>
    <w:rsid w:val="1FA53BA4"/>
    <w:rsid w:val="1FA76D2A"/>
    <w:rsid w:val="1FA773FD"/>
    <w:rsid w:val="1FAB32C2"/>
    <w:rsid w:val="1FB67018"/>
    <w:rsid w:val="1FBB0A47"/>
    <w:rsid w:val="1FBF0939"/>
    <w:rsid w:val="1FBF37C1"/>
    <w:rsid w:val="1FC02564"/>
    <w:rsid w:val="1FCC5B93"/>
    <w:rsid w:val="1FCF0C21"/>
    <w:rsid w:val="1FD44489"/>
    <w:rsid w:val="1FD91AA0"/>
    <w:rsid w:val="1FE04BDC"/>
    <w:rsid w:val="1FE32B0F"/>
    <w:rsid w:val="1FE7539E"/>
    <w:rsid w:val="1FF05FDD"/>
    <w:rsid w:val="1FF37EEB"/>
    <w:rsid w:val="1FFD07BD"/>
    <w:rsid w:val="1FFD2773"/>
    <w:rsid w:val="200603BB"/>
    <w:rsid w:val="20087C8F"/>
    <w:rsid w:val="200A7EAB"/>
    <w:rsid w:val="200C3C23"/>
    <w:rsid w:val="200D69E8"/>
    <w:rsid w:val="201351AA"/>
    <w:rsid w:val="201361E9"/>
    <w:rsid w:val="20142AD8"/>
    <w:rsid w:val="201B3E66"/>
    <w:rsid w:val="2020147D"/>
    <w:rsid w:val="202701C7"/>
    <w:rsid w:val="20285498"/>
    <w:rsid w:val="20353B28"/>
    <w:rsid w:val="203767C6"/>
    <w:rsid w:val="2039253E"/>
    <w:rsid w:val="203C3527"/>
    <w:rsid w:val="204131A1"/>
    <w:rsid w:val="20424E52"/>
    <w:rsid w:val="204C4020"/>
    <w:rsid w:val="204D7D98"/>
    <w:rsid w:val="205904EB"/>
    <w:rsid w:val="205E1FA5"/>
    <w:rsid w:val="20601879"/>
    <w:rsid w:val="20653333"/>
    <w:rsid w:val="20671BE0"/>
    <w:rsid w:val="20684BD2"/>
    <w:rsid w:val="20711CD8"/>
    <w:rsid w:val="20757C11"/>
    <w:rsid w:val="20783067"/>
    <w:rsid w:val="20827A42"/>
    <w:rsid w:val="20857532"/>
    <w:rsid w:val="20867371"/>
    <w:rsid w:val="208D3C85"/>
    <w:rsid w:val="208E0969"/>
    <w:rsid w:val="208E5D79"/>
    <w:rsid w:val="20947775"/>
    <w:rsid w:val="20963CB8"/>
    <w:rsid w:val="209A2351"/>
    <w:rsid w:val="209C40E2"/>
    <w:rsid w:val="20A14427"/>
    <w:rsid w:val="20A200E4"/>
    <w:rsid w:val="20A41676"/>
    <w:rsid w:val="20A81A1B"/>
    <w:rsid w:val="20AF45AF"/>
    <w:rsid w:val="20B07FB6"/>
    <w:rsid w:val="20B16579"/>
    <w:rsid w:val="20B21B0E"/>
    <w:rsid w:val="20B646FB"/>
    <w:rsid w:val="20BB38BF"/>
    <w:rsid w:val="20BF15B2"/>
    <w:rsid w:val="20C31E08"/>
    <w:rsid w:val="20C55B80"/>
    <w:rsid w:val="20D109C9"/>
    <w:rsid w:val="20D67D8D"/>
    <w:rsid w:val="20DD111C"/>
    <w:rsid w:val="20DD55C0"/>
    <w:rsid w:val="20DD5874"/>
    <w:rsid w:val="20DD736E"/>
    <w:rsid w:val="20E56222"/>
    <w:rsid w:val="20EC0E7D"/>
    <w:rsid w:val="20F007AE"/>
    <w:rsid w:val="20F14604"/>
    <w:rsid w:val="20F521B9"/>
    <w:rsid w:val="20F77D4D"/>
    <w:rsid w:val="20F82058"/>
    <w:rsid w:val="21005194"/>
    <w:rsid w:val="210523E0"/>
    <w:rsid w:val="21084C17"/>
    <w:rsid w:val="21115269"/>
    <w:rsid w:val="21151F12"/>
    <w:rsid w:val="2116462E"/>
    <w:rsid w:val="211865F8"/>
    <w:rsid w:val="211C1139"/>
    <w:rsid w:val="21231C3C"/>
    <w:rsid w:val="212705E9"/>
    <w:rsid w:val="212E1977"/>
    <w:rsid w:val="21385BF1"/>
    <w:rsid w:val="213B74B1"/>
    <w:rsid w:val="21463D46"/>
    <w:rsid w:val="21505D92"/>
    <w:rsid w:val="21582E98"/>
    <w:rsid w:val="215A2310"/>
    <w:rsid w:val="215D225D"/>
    <w:rsid w:val="215F5FD5"/>
    <w:rsid w:val="21641724"/>
    <w:rsid w:val="21740C10"/>
    <w:rsid w:val="21907D9E"/>
    <w:rsid w:val="219263AA"/>
    <w:rsid w:val="2194535C"/>
    <w:rsid w:val="21951C96"/>
    <w:rsid w:val="21954939"/>
    <w:rsid w:val="21964EC3"/>
    <w:rsid w:val="21976FE7"/>
    <w:rsid w:val="21A460DD"/>
    <w:rsid w:val="21AB746C"/>
    <w:rsid w:val="21AC7818"/>
    <w:rsid w:val="21B55C90"/>
    <w:rsid w:val="21C634B1"/>
    <w:rsid w:val="21C6582C"/>
    <w:rsid w:val="21C66054"/>
    <w:rsid w:val="21C978F2"/>
    <w:rsid w:val="21CE6CB6"/>
    <w:rsid w:val="21DE318A"/>
    <w:rsid w:val="21E14C3C"/>
    <w:rsid w:val="21E93AF0"/>
    <w:rsid w:val="21E971CB"/>
    <w:rsid w:val="21EA1D42"/>
    <w:rsid w:val="21EB5ABA"/>
    <w:rsid w:val="21ED698A"/>
    <w:rsid w:val="21EF5B80"/>
    <w:rsid w:val="21F743A7"/>
    <w:rsid w:val="21F91F85"/>
    <w:rsid w:val="220277BC"/>
    <w:rsid w:val="2208666C"/>
    <w:rsid w:val="220A2855"/>
    <w:rsid w:val="220C3597"/>
    <w:rsid w:val="220D77DF"/>
    <w:rsid w:val="22123047"/>
    <w:rsid w:val="22192627"/>
    <w:rsid w:val="221970D3"/>
    <w:rsid w:val="221A3BFD"/>
    <w:rsid w:val="221D6C49"/>
    <w:rsid w:val="221E7E05"/>
    <w:rsid w:val="22270BB1"/>
    <w:rsid w:val="2235475A"/>
    <w:rsid w:val="223D241F"/>
    <w:rsid w:val="223E36BD"/>
    <w:rsid w:val="223F5922"/>
    <w:rsid w:val="22477195"/>
    <w:rsid w:val="224D3A50"/>
    <w:rsid w:val="22536EA3"/>
    <w:rsid w:val="22561186"/>
    <w:rsid w:val="22576990"/>
    <w:rsid w:val="22592A24"/>
    <w:rsid w:val="225C42C2"/>
    <w:rsid w:val="22660F28"/>
    <w:rsid w:val="2268710B"/>
    <w:rsid w:val="226D689D"/>
    <w:rsid w:val="2274785E"/>
    <w:rsid w:val="22756CCC"/>
    <w:rsid w:val="227778C0"/>
    <w:rsid w:val="227B5090"/>
    <w:rsid w:val="228312A5"/>
    <w:rsid w:val="228B0083"/>
    <w:rsid w:val="228B7B4C"/>
    <w:rsid w:val="228D0920"/>
    <w:rsid w:val="228E42D0"/>
    <w:rsid w:val="2290678A"/>
    <w:rsid w:val="229C0B63"/>
    <w:rsid w:val="22A04696"/>
    <w:rsid w:val="22A53EBB"/>
    <w:rsid w:val="22A97C65"/>
    <w:rsid w:val="22B12860"/>
    <w:rsid w:val="22B83BEE"/>
    <w:rsid w:val="22BD2FB3"/>
    <w:rsid w:val="22CF718A"/>
    <w:rsid w:val="22E15169"/>
    <w:rsid w:val="22F26D7E"/>
    <w:rsid w:val="22F41696"/>
    <w:rsid w:val="22F47480"/>
    <w:rsid w:val="22FB651C"/>
    <w:rsid w:val="22FF1988"/>
    <w:rsid w:val="2302130E"/>
    <w:rsid w:val="2308312A"/>
    <w:rsid w:val="230C00EF"/>
    <w:rsid w:val="230C5CE8"/>
    <w:rsid w:val="230F4979"/>
    <w:rsid w:val="23113B92"/>
    <w:rsid w:val="231249B3"/>
    <w:rsid w:val="23201794"/>
    <w:rsid w:val="2322375E"/>
    <w:rsid w:val="23250B58"/>
    <w:rsid w:val="232B6C6F"/>
    <w:rsid w:val="232C5D5F"/>
    <w:rsid w:val="233838AB"/>
    <w:rsid w:val="233A2855"/>
    <w:rsid w:val="233B60D0"/>
    <w:rsid w:val="233D0598"/>
    <w:rsid w:val="23403BE4"/>
    <w:rsid w:val="2342170A"/>
    <w:rsid w:val="23447230"/>
    <w:rsid w:val="23465DCF"/>
    <w:rsid w:val="23495D9D"/>
    <w:rsid w:val="234A05BF"/>
    <w:rsid w:val="234E4553"/>
    <w:rsid w:val="23531B69"/>
    <w:rsid w:val="235960FF"/>
    <w:rsid w:val="235F3894"/>
    <w:rsid w:val="23614451"/>
    <w:rsid w:val="2367041F"/>
    <w:rsid w:val="23711FEF"/>
    <w:rsid w:val="23812232"/>
    <w:rsid w:val="23882C05"/>
    <w:rsid w:val="238873CF"/>
    <w:rsid w:val="238B4E5F"/>
    <w:rsid w:val="238C0BD7"/>
    <w:rsid w:val="238C7AE4"/>
    <w:rsid w:val="23A128D5"/>
    <w:rsid w:val="23A33EE4"/>
    <w:rsid w:val="23A3664D"/>
    <w:rsid w:val="23A71589"/>
    <w:rsid w:val="23AD098A"/>
    <w:rsid w:val="23AE0B4E"/>
    <w:rsid w:val="23B02B18"/>
    <w:rsid w:val="23B343B6"/>
    <w:rsid w:val="23B720F8"/>
    <w:rsid w:val="23BD3C4B"/>
    <w:rsid w:val="23CE2F9E"/>
    <w:rsid w:val="23D91FDA"/>
    <w:rsid w:val="23DC2D77"/>
    <w:rsid w:val="23DE1C48"/>
    <w:rsid w:val="23DF2DE4"/>
    <w:rsid w:val="23E46C9D"/>
    <w:rsid w:val="23ED5B1A"/>
    <w:rsid w:val="23F214E4"/>
    <w:rsid w:val="23F25E6E"/>
    <w:rsid w:val="23F32A04"/>
    <w:rsid w:val="23FB786F"/>
    <w:rsid w:val="23FD2569"/>
    <w:rsid w:val="24000918"/>
    <w:rsid w:val="240010B9"/>
    <w:rsid w:val="240210CD"/>
    <w:rsid w:val="240F3CE2"/>
    <w:rsid w:val="241200D5"/>
    <w:rsid w:val="24136182"/>
    <w:rsid w:val="24150BCD"/>
    <w:rsid w:val="241717B6"/>
    <w:rsid w:val="2419626F"/>
    <w:rsid w:val="241B4D9D"/>
    <w:rsid w:val="241C1F5B"/>
    <w:rsid w:val="241D26AD"/>
    <w:rsid w:val="241F164B"/>
    <w:rsid w:val="241F47CA"/>
    <w:rsid w:val="24262DDA"/>
    <w:rsid w:val="242739F6"/>
    <w:rsid w:val="242B7315"/>
    <w:rsid w:val="24303C58"/>
    <w:rsid w:val="2432352D"/>
    <w:rsid w:val="24324826"/>
    <w:rsid w:val="243C5AB2"/>
    <w:rsid w:val="243C5FCA"/>
    <w:rsid w:val="243E759B"/>
    <w:rsid w:val="244D3098"/>
    <w:rsid w:val="245055C8"/>
    <w:rsid w:val="24536E6B"/>
    <w:rsid w:val="24547947"/>
    <w:rsid w:val="2455546D"/>
    <w:rsid w:val="245870BA"/>
    <w:rsid w:val="24597F3F"/>
    <w:rsid w:val="245B38A1"/>
    <w:rsid w:val="245C67FB"/>
    <w:rsid w:val="24614CD9"/>
    <w:rsid w:val="24651B54"/>
    <w:rsid w:val="24662663"/>
    <w:rsid w:val="246A716A"/>
    <w:rsid w:val="247B59B1"/>
    <w:rsid w:val="247F1F83"/>
    <w:rsid w:val="24831FDA"/>
    <w:rsid w:val="248462FB"/>
    <w:rsid w:val="24877D1C"/>
    <w:rsid w:val="249429D8"/>
    <w:rsid w:val="24983610"/>
    <w:rsid w:val="249B059B"/>
    <w:rsid w:val="249D1767"/>
    <w:rsid w:val="24B17C41"/>
    <w:rsid w:val="24B60F63"/>
    <w:rsid w:val="24B623B0"/>
    <w:rsid w:val="24B959FC"/>
    <w:rsid w:val="24BB5DA1"/>
    <w:rsid w:val="24BC54EC"/>
    <w:rsid w:val="24BD373E"/>
    <w:rsid w:val="24BE74B6"/>
    <w:rsid w:val="24BF09F7"/>
    <w:rsid w:val="24C205B4"/>
    <w:rsid w:val="24C745BD"/>
    <w:rsid w:val="24C776A9"/>
    <w:rsid w:val="24C820E3"/>
    <w:rsid w:val="24C85821"/>
    <w:rsid w:val="24D42836"/>
    <w:rsid w:val="24D9609E"/>
    <w:rsid w:val="24E134EF"/>
    <w:rsid w:val="24F05133"/>
    <w:rsid w:val="24FA6740"/>
    <w:rsid w:val="25015B34"/>
    <w:rsid w:val="251175E6"/>
    <w:rsid w:val="25182C21"/>
    <w:rsid w:val="25192541"/>
    <w:rsid w:val="251D5F8B"/>
    <w:rsid w:val="25227A45"/>
    <w:rsid w:val="25260189"/>
    <w:rsid w:val="252D53FE"/>
    <w:rsid w:val="25354932"/>
    <w:rsid w:val="254123E8"/>
    <w:rsid w:val="25431C48"/>
    <w:rsid w:val="25494FD2"/>
    <w:rsid w:val="254C2D14"/>
    <w:rsid w:val="25507FF0"/>
    <w:rsid w:val="25546F01"/>
    <w:rsid w:val="25554206"/>
    <w:rsid w:val="255A0F8D"/>
    <w:rsid w:val="256D2827"/>
    <w:rsid w:val="256E67E6"/>
    <w:rsid w:val="25706A02"/>
    <w:rsid w:val="2573204F"/>
    <w:rsid w:val="25787665"/>
    <w:rsid w:val="25792D66"/>
    <w:rsid w:val="257D2ECD"/>
    <w:rsid w:val="258C1362"/>
    <w:rsid w:val="258E50DA"/>
    <w:rsid w:val="25964C53"/>
    <w:rsid w:val="25A31460"/>
    <w:rsid w:val="25A8047D"/>
    <w:rsid w:val="25B214AD"/>
    <w:rsid w:val="25B3069D"/>
    <w:rsid w:val="25B647A5"/>
    <w:rsid w:val="25B72180"/>
    <w:rsid w:val="25BB40C1"/>
    <w:rsid w:val="25C26ED1"/>
    <w:rsid w:val="25D22474"/>
    <w:rsid w:val="25DB7D8E"/>
    <w:rsid w:val="25DC7BF4"/>
    <w:rsid w:val="25EC2D81"/>
    <w:rsid w:val="25F03B5F"/>
    <w:rsid w:val="25F54B32"/>
    <w:rsid w:val="260B1958"/>
    <w:rsid w:val="261560A0"/>
    <w:rsid w:val="2628108B"/>
    <w:rsid w:val="263A5630"/>
    <w:rsid w:val="264463BE"/>
    <w:rsid w:val="26470BB5"/>
    <w:rsid w:val="26482771"/>
    <w:rsid w:val="2649183E"/>
    <w:rsid w:val="264958CC"/>
    <w:rsid w:val="264B4D7A"/>
    <w:rsid w:val="264B76DF"/>
    <w:rsid w:val="264D7F3E"/>
    <w:rsid w:val="264E0AEE"/>
    <w:rsid w:val="265359DC"/>
    <w:rsid w:val="26543C2E"/>
    <w:rsid w:val="26553BB8"/>
    <w:rsid w:val="26587F92"/>
    <w:rsid w:val="265A320F"/>
    <w:rsid w:val="26631FAB"/>
    <w:rsid w:val="26647A1D"/>
    <w:rsid w:val="26652635"/>
    <w:rsid w:val="26661BB3"/>
    <w:rsid w:val="266C706B"/>
    <w:rsid w:val="266D2F42"/>
    <w:rsid w:val="266F0A68"/>
    <w:rsid w:val="267062EF"/>
    <w:rsid w:val="26787A93"/>
    <w:rsid w:val="26797B39"/>
    <w:rsid w:val="267D73B2"/>
    <w:rsid w:val="26820162"/>
    <w:rsid w:val="26871121"/>
    <w:rsid w:val="269057CE"/>
    <w:rsid w:val="26913216"/>
    <w:rsid w:val="26926505"/>
    <w:rsid w:val="269670E2"/>
    <w:rsid w:val="269C55D5"/>
    <w:rsid w:val="26A12BEB"/>
    <w:rsid w:val="26A30712"/>
    <w:rsid w:val="26A61FB0"/>
    <w:rsid w:val="26A675FA"/>
    <w:rsid w:val="26A85D28"/>
    <w:rsid w:val="26A86D91"/>
    <w:rsid w:val="26A90DBB"/>
    <w:rsid w:val="26BE19EF"/>
    <w:rsid w:val="26C07516"/>
    <w:rsid w:val="26C10197"/>
    <w:rsid w:val="26CD12DC"/>
    <w:rsid w:val="26D150CB"/>
    <w:rsid w:val="26D96B0A"/>
    <w:rsid w:val="26DC3C29"/>
    <w:rsid w:val="26DC7221"/>
    <w:rsid w:val="26DE174A"/>
    <w:rsid w:val="26E01305"/>
    <w:rsid w:val="26E50D2A"/>
    <w:rsid w:val="26EA3C05"/>
    <w:rsid w:val="26F22A68"/>
    <w:rsid w:val="26F45411"/>
    <w:rsid w:val="26F709A6"/>
    <w:rsid w:val="26FD42C6"/>
    <w:rsid w:val="27035654"/>
    <w:rsid w:val="270C62B7"/>
    <w:rsid w:val="2714193E"/>
    <w:rsid w:val="27175C96"/>
    <w:rsid w:val="271A286C"/>
    <w:rsid w:val="271E5454"/>
    <w:rsid w:val="2721081E"/>
    <w:rsid w:val="27335B2F"/>
    <w:rsid w:val="273F236B"/>
    <w:rsid w:val="27433CA3"/>
    <w:rsid w:val="274403BD"/>
    <w:rsid w:val="274F3AEE"/>
    <w:rsid w:val="2755677A"/>
    <w:rsid w:val="27563C8B"/>
    <w:rsid w:val="275A34C6"/>
    <w:rsid w:val="275D5E29"/>
    <w:rsid w:val="275F1D29"/>
    <w:rsid w:val="275F4709"/>
    <w:rsid w:val="275F6FCB"/>
    <w:rsid w:val="27667505"/>
    <w:rsid w:val="276A6755"/>
    <w:rsid w:val="277057A2"/>
    <w:rsid w:val="277D46CA"/>
    <w:rsid w:val="277F2F2D"/>
    <w:rsid w:val="27802801"/>
    <w:rsid w:val="278B6ED8"/>
    <w:rsid w:val="278E13C2"/>
    <w:rsid w:val="278E3170"/>
    <w:rsid w:val="2792414C"/>
    <w:rsid w:val="279462AC"/>
    <w:rsid w:val="27966D6E"/>
    <w:rsid w:val="2799515C"/>
    <w:rsid w:val="279E3402"/>
    <w:rsid w:val="27A0625D"/>
    <w:rsid w:val="27A504B9"/>
    <w:rsid w:val="27AC35F6"/>
    <w:rsid w:val="27B82C06"/>
    <w:rsid w:val="27BC36B1"/>
    <w:rsid w:val="27BD555B"/>
    <w:rsid w:val="27BD57B5"/>
    <w:rsid w:val="27C240A6"/>
    <w:rsid w:val="27C7165F"/>
    <w:rsid w:val="27CC3C98"/>
    <w:rsid w:val="27D0778A"/>
    <w:rsid w:val="27DA4506"/>
    <w:rsid w:val="27EA4798"/>
    <w:rsid w:val="27EC1AE4"/>
    <w:rsid w:val="27F76CF5"/>
    <w:rsid w:val="27FF7BCA"/>
    <w:rsid w:val="280125B5"/>
    <w:rsid w:val="28052EE9"/>
    <w:rsid w:val="28133675"/>
    <w:rsid w:val="28177609"/>
    <w:rsid w:val="281A0EA7"/>
    <w:rsid w:val="281C69CE"/>
    <w:rsid w:val="281E73A1"/>
    <w:rsid w:val="282747E0"/>
    <w:rsid w:val="282B09BF"/>
    <w:rsid w:val="283755B5"/>
    <w:rsid w:val="28394AB8"/>
    <w:rsid w:val="28433F5A"/>
    <w:rsid w:val="284524DE"/>
    <w:rsid w:val="284E28FF"/>
    <w:rsid w:val="285048C9"/>
    <w:rsid w:val="28543BD0"/>
    <w:rsid w:val="28681C13"/>
    <w:rsid w:val="2873620E"/>
    <w:rsid w:val="28747C31"/>
    <w:rsid w:val="287F6115"/>
    <w:rsid w:val="2895791C"/>
    <w:rsid w:val="28984A47"/>
    <w:rsid w:val="289D5A8A"/>
    <w:rsid w:val="28A25DD6"/>
    <w:rsid w:val="28A9543D"/>
    <w:rsid w:val="28AF3ACE"/>
    <w:rsid w:val="28C1246B"/>
    <w:rsid w:val="28C9399C"/>
    <w:rsid w:val="28CD7E1D"/>
    <w:rsid w:val="28D6009A"/>
    <w:rsid w:val="28E05D5A"/>
    <w:rsid w:val="28E13773"/>
    <w:rsid w:val="28E33D7F"/>
    <w:rsid w:val="28E62B38"/>
    <w:rsid w:val="28EC7B1F"/>
    <w:rsid w:val="28F2772E"/>
    <w:rsid w:val="28F65471"/>
    <w:rsid w:val="28FC7B3A"/>
    <w:rsid w:val="28FC7F28"/>
    <w:rsid w:val="28FE4325"/>
    <w:rsid w:val="29015B8B"/>
    <w:rsid w:val="29110DA7"/>
    <w:rsid w:val="291132B7"/>
    <w:rsid w:val="29150CF4"/>
    <w:rsid w:val="291853E7"/>
    <w:rsid w:val="291B0A33"/>
    <w:rsid w:val="291D0C4F"/>
    <w:rsid w:val="291E22D1"/>
    <w:rsid w:val="2920429C"/>
    <w:rsid w:val="2920604A"/>
    <w:rsid w:val="29206EB8"/>
    <w:rsid w:val="29332221"/>
    <w:rsid w:val="293947B6"/>
    <w:rsid w:val="29446AB7"/>
    <w:rsid w:val="294A1318"/>
    <w:rsid w:val="294A370E"/>
    <w:rsid w:val="294C0B33"/>
    <w:rsid w:val="294D5A24"/>
    <w:rsid w:val="29531C14"/>
    <w:rsid w:val="29595666"/>
    <w:rsid w:val="295A1C7D"/>
    <w:rsid w:val="295F05A8"/>
    <w:rsid w:val="29624C4F"/>
    <w:rsid w:val="29685B5B"/>
    <w:rsid w:val="296919AB"/>
    <w:rsid w:val="29855CF3"/>
    <w:rsid w:val="29874881"/>
    <w:rsid w:val="298760C9"/>
    <w:rsid w:val="298E56A9"/>
    <w:rsid w:val="298E69CF"/>
    <w:rsid w:val="29916F47"/>
    <w:rsid w:val="29930735"/>
    <w:rsid w:val="29961F3E"/>
    <w:rsid w:val="2996455E"/>
    <w:rsid w:val="299A2718"/>
    <w:rsid w:val="299D769A"/>
    <w:rsid w:val="299E3412"/>
    <w:rsid w:val="29A059C2"/>
    <w:rsid w:val="29A30A29"/>
    <w:rsid w:val="29A36925"/>
    <w:rsid w:val="29A9603F"/>
    <w:rsid w:val="29AA633C"/>
    <w:rsid w:val="29B123D9"/>
    <w:rsid w:val="29C54E43"/>
    <w:rsid w:val="29C913C2"/>
    <w:rsid w:val="29D405A0"/>
    <w:rsid w:val="29D9755B"/>
    <w:rsid w:val="29DA0828"/>
    <w:rsid w:val="29DC3746"/>
    <w:rsid w:val="29E325E0"/>
    <w:rsid w:val="29EC0622"/>
    <w:rsid w:val="29ED014D"/>
    <w:rsid w:val="29F15C38"/>
    <w:rsid w:val="29FA2874"/>
    <w:rsid w:val="29FB35E9"/>
    <w:rsid w:val="29FC452C"/>
    <w:rsid w:val="29FD68CA"/>
    <w:rsid w:val="2A0046E1"/>
    <w:rsid w:val="2A0B5627"/>
    <w:rsid w:val="2A0D1B59"/>
    <w:rsid w:val="2A0E67EA"/>
    <w:rsid w:val="2A1060BE"/>
    <w:rsid w:val="2A1F24E3"/>
    <w:rsid w:val="2A2A1BDD"/>
    <w:rsid w:val="2A2A5F01"/>
    <w:rsid w:val="2A2B2EF8"/>
    <w:rsid w:val="2A331DAD"/>
    <w:rsid w:val="2A355B25"/>
    <w:rsid w:val="2A452503"/>
    <w:rsid w:val="2A473AAA"/>
    <w:rsid w:val="2A4D2C1C"/>
    <w:rsid w:val="2A50742B"/>
    <w:rsid w:val="2A522B7B"/>
    <w:rsid w:val="2A571F3F"/>
    <w:rsid w:val="2A5D4B4C"/>
    <w:rsid w:val="2A5E32CD"/>
    <w:rsid w:val="2A661F1D"/>
    <w:rsid w:val="2A6F6D2A"/>
    <w:rsid w:val="2A757CA7"/>
    <w:rsid w:val="2A7956C8"/>
    <w:rsid w:val="2A7E1577"/>
    <w:rsid w:val="2A804964"/>
    <w:rsid w:val="2A827625"/>
    <w:rsid w:val="2A88034A"/>
    <w:rsid w:val="2A895E70"/>
    <w:rsid w:val="2A8A6869"/>
    <w:rsid w:val="2A8B493C"/>
    <w:rsid w:val="2A8E16D9"/>
    <w:rsid w:val="2A8F0B6D"/>
    <w:rsid w:val="2A912D5A"/>
    <w:rsid w:val="2A914876"/>
    <w:rsid w:val="2A95072F"/>
    <w:rsid w:val="2A992557"/>
    <w:rsid w:val="2A9C3DF6"/>
    <w:rsid w:val="2A9E191C"/>
    <w:rsid w:val="2AA77F50"/>
    <w:rsid w:val="2AA840CC"/>
    <w:rsid w:val="2AB470C6"/>
    <w:rsid w:val="2ABA24CE"/>
    <w:rsid w:val="2AC55B35"/>
    <w:rsid w:val="2AC670C5"/>
    <w:rsid w:val="2AC7296E"/>
    <w:rsid w:val="2ACD2201"/>
    <w:rsid w:val="2ACD559F"/>
    <w:rsid w:val="2AD72990"/>
    <w:rsid w:val="2AD73080"/>
    <w:rsid w:val="2ADE37EC"/>
    <w:rsid w:val="2AE9690F"/>
    <w:rsid w:val="2AEC1E3B"/>
    <w:rsid w:val="2AEE6F86"/>
    <w:rsid w:val="2AEF3F25"/>
    <w:rsid w:val="2B0025D7"/>
    <w:rsid w:val="2B0B0A53"/>
    <w:rsid w:val="2B0B74C5"/>
    <w:rsid w:val="2B0D4CF3"/>
    <w:rsid w:val="2B1652B4"/>
    <w:rsid w:val="2B1A4D1A"/>
    <w:rsid w:val="2B1B11BE"/>
    <w:rsid w:val="2B1C6E5B"/>
    <w:rsid w:val="2B2F1D52"/>
    <w:rsid w:val="2B33613E"/>
    <w:rsid w:val="2B35480A"/>
    <w:rsid w:val="2B3644F5"/>
    <w:rsid w:val="2B3A03D7"/>
    <w:rsid w:val="2B3B38D0"/>
    <w:rsid w:val="2B3C39F5"/>
    <w:rsid w:val="2B476C31"/>
    <w:rsid w:val="2B4A7C77"/>
    <w:rsid w:val="2B514BE0"/>
    <w:rsid w:val="2B52501F"/>
    <w:rsid w:val="2B5F5FB9"/>
    <w:rsid w:val="2B5F7125"/>
    <w:rsid w:val="2B610237"/>
    <w:rsid w:val="2B615FB6"/>
    <w:rsid w:val="2B667F60"/>
    <w:rsid w:val="2B6B0D5D"/>
    <w:rsid w:val="2B6C5576"/>
    <w:rsid w:val="2B6E2120"/>
    <w:rsid w:val="2B762899"/>
    <w:rsid w:val="2B8A00F2"/>
    <w:rsid w:val="2B935882"/>
    <w:rsid w:val="2B9B1A86"/>
    <w:rsid w:val="2BA00A5A"/>
    <w:rsid w:val="2BA03472"/>
    <w:rsid w:val="2BA2543C"/>
    <w:rsid w:val="2BA90737"/>
    <w:rsid w:val="2BA936A8"/>
    <w:rsid w:val="2BAE2033"/>
    <w:rsid w:val="2BAE57DB"/>
    <w:rsid w:val="2BAF7B59"/>
    <w:rsid w:val="2BB36641"/>
    <w:rsid w:val="2BBB34EE"/>
    <w:rsid w:val="2BC25293"/>
    <w:rsid w:val="2BC328C2"/>
    <w:rsid w:val="2BCC070B"/>
    <w:rsid w:val="2BD1187D"/>
    <w:rsid w:val="2BD66F2D"/>
    <w:rsid w:val="2BD76100"/>
    <w:rsid w:val="2BDA501D"/>
    <w:rsid w:val="2BE07D12"/>
    <w:rsid w:val="2BEF3235"/>
    <w:rsid w:val="2BF0413B"/>
    <w:rsid w:val="2BF24F7F"/>
    <w:rsid w:val="2BF87197"/>
    <w:rsid w:val="2BFA5278"/>
    <w:rsid w:val="2BFC0FF0"/>
    <w:rsid w:val="2C030CEF"/>
    <w:rsid w:val="2C035707"/>
    <w:rsid w:val="2C0A4D8F"/>
    <w:rsid w:val="2C0B1233"/>
    <w:rsid w:val="2C103BB5"/>
    <w:rsid w:val="2C11766D"/>
    <w:rsid w:val="2C1D0F66"/>
    <w:rsid w:val="2C1D4AC2"/>
    <w:rsid w:val="2C202168"/>
    <w:rsid w:val="2C217B14"/>
    <w:rsid w:val="2C26606D"/>
    <w:rsid w:val="2C2A2C0E"/>
    <w:rsid w:val="2C2A6E52"/>
    <w:rsid w:val="2C31056E"/>
    <w:rsid w:val="2C315A5A"/>
    <w:rsid w:val="2C3469DC"/>
    <w:rsid w:val="2C485E46"/>
    <w:rsid w:val="2C4A5DD4"/>
    <w:rsid w:val="2C4B1C25"/>
    <w:rsid w:val="2C4D7FDE"/>
    <w:rsid w:val="2C5F157F"/>
    <w:rsid w:val="2C6705DD"/>
    <w:rsid w:val="2C673F8F"/>
    <w:rsid w:val="2C714E0E"/>
    <w:rsid w:val="2C732201"/>
    <w:rsid w:val="2C7449D0"/>
    <w:rsid w:val="2C777CBC"/>
    <w:rsid w:val="2C8259E7"/>
    <w:rsid w:val="2C8965FC"/>
    <w:rsid w:val="2C9251AD"/>
    <w:rsid w:val="2C9254B0"/>
    <w:rsid w:val="2C9A6113"/>
    <w:rsid w:val="2C9F7BCD"/>
    <w:rsid w:val="2CA23219"/>
    <w:rsid w:val="2CA31E7F"/>
    <w:rsid w:val="2CA43435"/>
    <w:rsid w:val="2CA77F9B"/>
    <w:rsid w:val="2CAB3CFA"/>
    <w:rsid w:val="2CAC3F29"/>
    <w:rsid w:val="2CAD4098"/>
    <w:rsid w:val="2CAD5E46"/>
    <w:rsid w:val="2CAE562C"/>
    <w:rsid w:val="2CB74F17"/>
    <w:rsid w:val="2CCE08E4"/>
    <w:rsid w:val="2CDC0270"/>
    <w:rsid w:val="2CE253BD"/>
    <w:rsid w:val="2CE35832"/>
    <w:rsid w:val="2CEA52EC"/>
    <w:rsid w:val="2CEB22B9"/>
    <w:rsid w:val="2CF33A75"/>
    <w:rsid w:val="2CF43DD3"/>
    <w:rsid w:val="2CF64A1E"/>
    <w:rsid w:val="2CFB56AE"/>
    <w:rsid w:val="2CFD7005"/>
    <w:rsid w:val="2D053DB8"/>
    <w:rsid w:val="2D053ED4"/>
    <w:rsid w:val="2D10405F"/>
    <w:rsid w:val="2D1B54A6"/>
    <w:rsid w:val="2D1D0EB8"/>
    <w:rsid w:val="2D2720F7"/>
    <w:rsid w:val="2D2D342B"/>
    <w:rsid w:val="2D2F2CFF"/>
    <w:rsid w:val="2D300825"/>
    <w:rsid w:val="2D3F1BDA"/>
    <w:rsid w:val="2D4F6EFD"/>
    <w:rsid w:val="2D51110E"/>
    <w:rsid w:val="2D5B3AF4"/>
    <w:rsid w:val="2D5B7F98"/>
    <w:rsid w:val="2D5D36CC"/>
    <w:rsid w:val="2D6D1A79"/>
    <w:rsid w:val="2D71156A"/>
    <w:rsid w:val="2D742D04"/>
    <w:rsid w:val="2D826A9F"/>
    <w:rsid w:val="2D864D49"/>
    <w:rsid w:val="2D8D5C78"/>
    <w:rsid w:val="2D923B0D"/>
    <w:rsid w:val="2D962BB4"/>
    <w:rsid w:val="2D9946E2"/>
    <w:rsid w:val="2D9B673F"/>
    <w:rsid w:val="2D9E56F5"/>
    <w:rsid w:val="2DA502AD"/>
    <w:rsid w:val="2DB604DD"/>
    <w:rsid w:val="2DBD655D"/>
    <w:rsid w:val="2DC1788B"/>
    <w:rsid w:val="2DC42FC0"/>
    <w:rsid w:val="2DC773DC"/>
    <w:rsid w:val="2DC9664B"/>
    <w:rsid w:val="2DCC49F2"/>
    <w:rsid w:val="2DD259A7"/>
    <w:rsid w:val="2DD37C27"/>
    <w:rsid w:val="2DDB5544"/>
    <w:rsid w:val="2DE12941"/>
    <w:rsid w:val="2DEA131C"/>
    <w:rsid w:val="2DEC3D42"/>
    <w:rsid w:val="2DED05E5"/>
    <w:rsid w:val="2DF2753D"/>
    <w:rsid w:val="2DF37900"/>
    <w:rsid w:val="2DF47AA5"/>
    <w:rsid w:val="2DF6381D"/>
    <w:rsid w:val="2E1D7AB2"/>
    <w:rsid w:val="2E293BF2"/>
    <w:rsid w:val="2E352597"/>
    <w:rsid w:val="2E36630F"/>
    <w:rsid w:val="2E374561"/>
    <w:rsid w:val="2E3B3926"/>
    <w:rsid w:val="2E3D58F0"/>
    <w:rsid w:val="2E4302CB"/>
    <w:rsid w:val="2E4562DF"/>
    <w:rsid w:val="2E460D8A"/>
    <w:rsid w:val="2E466923"/>
    <w:rsid w:val="2E476F38"/>
    <w:rsid w:val="2E4851B5"/>
    <w:rsid w:val="2E4C4E64"/>
    <w:rsid w:val="2E50052A"/>
    <w:rsid w:val="2E5A0476"/>
    <w:rsid w:val="2E6115DE"/>
    <w:rsid w:val="2E666BF4"/>
    <w:rsid w:val="2E667F96"/>
    <w:rsid w:val="2E6B5E9F"/>
    <w:rsid w:val="2E72749D"/>
    <w:rsid w:val="2E772BB0"/>
    <w:rsid w:val="2E787DA1"/>
    <w:rsid w:val="2E7E0EF2"/>
    <w:rsid w:val="2E8125AF"/>
    <w:rsid w:val="2E8226AB"/>
    <w:rsid w:val="2E870399"/>
    <w:rsid w:val="2E884B7F"/>
    <w:rsid w:val="2E8A101A"/>
    <w:rsid w:val="2E941572"/>
    <w:rsid w:val="2E9B55DF"/>
    <w:rsid w:val="2EA34861"/>
    <w:rsid w:val="2EA70306"/>
    <w:rsid w:val="2EA9088F"/>
    <w:rsid w:val="2EAF7B97"/>
    <w:rsid w:val="2EB43DF6"/>
    <w:rsid w:val="2EBB44D9"/>
    <w:rsid w:val="2EC14626"/>
    <w:rsid w:val="2ECA0227"/>
    <w:rsid w:val="2ECD21B7"/>
    <w:rsid w:val="2ED51684"/>
    <w:rsid w:val="2EEB1E34"/>
    <w:rsid w:val="2EF064BE"/>
    <w:rsid w:val="2EF97F5D"/>
    <w:rsid w:val="2EFC1307"/>
    <w:rsid w:val="2EFE3F2D"/>
    <w:rsid w:val="2EFE5194"/>
    <w:rsid w:val="2EFF4953"/>
    <w:rsid w:val="2F001B67"/>
    <w:rsid w:val="2F0C0F44"/>
    <w:rsid w:val="2F13763C"/>
    <w:rsid w:val="2F143AC8"/>
    <w:rsid w:val="2F155F25"/>
    <w:rsid w:val="2F197A64"/>
    <w:rsid w:val="2F2131FE"/>
    <w:rsid w:val="2F22137A"/>
    <w:rsid w:val="2F271D7C"/>
    <w:rsid w:val="2F282940"/>
    <w:rsid w:val="2F2D14C0"/>
    <w:rsid w:val="2F2D261C"/>
    <w:rsid w:val="2F2D349D"/>
    <w:rsid w:val="2F386C89"/>
    <w:rsid w:val="2F395DA2"/>
    <w:rsid w:val="2F3E0B25"/>
    <w:rsid w:val="2F460EBB"/>
    <w:rsid w:val="2F4874EF"/>
    <w:rsid w:val="2F4A0779"/>
    <w:rsid w:val="2F4A14C7"/>
    <w:rsid w:val="2F4D5928"/>
    <w:rsid w:val="2F6649D2"/>
    <w:rsid w:val="2F6E55FA"/>
    <w:rsid w:val="2F703AFF"/>
    <w:rsid w:val="2F725125"/>
    <w:rsid w:val="2F75581D"/>
    <w:rsid w:val="2F794705"/>
    <w:rsid w:val="2F7A38C9"/>
    <w:rsid w:val="2F7C4B60"/>
    <w:rsid w:val="2F862DE4"/>
    <w:rsid w:val="2FA06136"/>
    <w:rsid w:val="2FAA0080"/>
    <w:rsid w:val="2FAD3110"/>
    <w:rsid w:val="2FB41BE1"/>
    <w:rsid w:val="2FB4573E"/>
    <w:rsid w:val="2FB82320"/>
    <w:rsid w:val="2FBA6988"/>
    <w:rsid w:val="2FBB4D1E"/>
    <w:rsid w:val="2FBD0A96"/>
    <w:rsid w:val="2FBE480E"/>
    <w:rsid w:val="2FC20F3B"/>
    <w:rsid w:val="2FCA6D0F"/>
    <w:rsid w:val="2FD065E6"/>
    <w:rsid w:val="2FD14541"/>
    <w:rsid w:val="2FD96870"/>
    <w:rsid w:val="2FDF16EF"/>
    <w:rsid w:val="2FE260F4"/>
    <w:rsid w:val="2FE4231A"/>
    <w:rsid w:val="2FE6421C"/>
    <w:rsid w:val="2FF76127"/>
    <w:rsid w:val="2FF76E33"/>
    <w:rsid w:val="2FFF3B94"/>
    <w:rsid w:val="300D34F1"/>
    <w:rsid w:val="301A39F8"/>
    <w:rsid w:val="301D7787"/>
    <w:rsid w:val="301F678F"/>
    <w:rsid w:val="30234671"/>
    <w:rsid w:val="302B3702"/>
    <w:rsid w:val="30313232"/>
    <w:rsid w:val="30330D58"/>
    <w:rsid w:val="304211CA"/>
    <w:rsid w:val="3045283A"/>
    <w:rsid w:val="304A1495"/>
    <w:rsid w:val="304C5976"/>
    <w:rsid w:val="30580BC9"/>
    <w:rsid w:val="305D2E73"/>
    <w:rsid w:val="30650D77"/>
    <w:rsid w:val="30654C8A"/>
    <w:rsid w:val="30661243"/>
    <w:rsid w:val="306D72F5"/>
    <w:rsid w:val="30705B08"/>
    <w:rsid w:val="30717AD3"/>
    <w:rsid w:val="30742F8E"/>
    <w:rsid w:val="30754AC4"/>
    <w:rsid w:val="307A6791"/>
    <w:rsid w:val="307E7DC8"/>
    <w:rsid w:val="30824BFB"/>
    <w:rsid w:val="30896BCA"/>
    <w:rsid w:val="30931155"/>
    <w:rsid w:val="309551D6"/>
    <w:rsid w:val="309D08C8"/>
    <w:rsid w:val="30A10D5A"/>
    <w:rsid w:val="30A142E9"/>
    <w:rsid w:val="30A14C73"/>
    <w:rsid w:val="30A36624"/>
    <w:rsid w:val="30A77050"/>
    <w:rsid w:val="30A80547"/>
    <w:rsid w:val="30AC70C1"/>
    <w:rsid w:val="30B05F05"/>
    <w:rsid w:val="30B359F5"/>
    <w:rsid w:val="30BB5ADC"/>
    <w:rsid w:val="30C27074"/>
    <w:rsid w:val="30C418B6"/>
    <w:rsid w:val="30C419B0"/>
    <w:rsid w:val="30C92988"/>
    <w:rsid w:val="30D26155"/>
    <w:rsid w:val="30DA203B"/>
    <w:rsid w:val="30DA2ED3"/>
    <w:rsid w:val="30DA3969"/>
    <w:rsid w:val="30DE104A"/>
    <w:rsid w:val="30E366D2"/>
    <w:rsid w:val="31085FF8"/>
    <w:rsid w:val="31101099"/>
    <w:rsid w:val="3112096E"/>
    <w:rsid w:val="311714C1"/>
    <w:rsid w:val="311E2ED7"/>
    <w:rsid w:val="312406A1"/>
    <w:rsid w:val="31313650"/>
    <w:rsid w:val="31343506"/>
    <w:rsid w:val="31352968"/>
    <w:rsid w:val="313A6A32"/>
    <w:rsid w:val="31430520"/>
    <w:rsid w:val="3143321D"/>
    <w:rsid w:val="31442AF1"/>
    <w:rsid w:val="31480D82"/>
    <w:rsid w:val="314C496C"/>
    <w:rsid w:val="315619EE"/>
    <w:rsid w:val="315C449C"/>
    <w:rsid w:val="316152FB"/>
    <w:rsid w:val="316D78EE"/>
    <w:rsid w:val="317050DC"/>
    <w:rsid w:val="31815AF3"/>
    <w:rsid w:val="3183186B"/>
    <w:rsid w:val="3199215A"/>
    <w:rsid w:val="31A041CB"/>
    <w:rsid w:val="31A17801"/>
    <w:rsid w:val="31AC3369"/>
    <w:rsid w:val="31B032F8"/>
    <w:rsid w:val="31B7469D"/>
    <w:rsid w:val="31B82709"/>
    <w:rsid w:val="31B9498B"/>
    <w:rsid w:val="31BE5EB6"/>
    <w:rsid w:val="31C028EB"/>
    <w:rsid w:val="31C14142"/>
    <w:rsid w:val="31C63277"/>
    <w:rsid w:val="31C63DC8"/>
    <w:rsid w:val="31C754AD"/>
    <w:rsid w:val="31C77C06"/>
    <w:rsid w:val="31C81816"/>
    <w:rsid w:val="31D05482"/>
    <w:rsid w:val="31D16A7B"/>
    <w:rsid w:val="31D2453B"/>
    <w:rsid w:val="31D71BB7"/>
    <w:rsid w:val="31D97C12"/>
    <w:rsid w:val="31DB16A7"/>
    <w:rsid w:val="31DB1A05"/>
    <w:rsid w:val="31E06CBE"/>
    <w:rsid w:val="31E4631C"/>
    <w:rsid w:val="31EE13DB"/>
    <w:rsid w:val="31F42CFD"/>
    <w:rsid w:val="31FC33CC"/>
    <w:rsid w:val="31FD4EEE"/>
    <w:rsid w:val="32024E86"/>
    <w:rsid w:val="32026C34"/>
    <w:rsid w:val="320D55D9"/>
    <w:rsid w:val="321A72B8"/>
    <w:rsid w:val="3220337D"/>
    <w:rsid w:val="32335040"/>
    <w:rsid w:val="3236068C"/>
    <w:rsid w:val="32400B34"/>
    <w:rsid w:val="32436D51"/>
    <w:rsid w:val="32442321"/>
    <w:rsid w:val="324641BE"/>
    <w:rsid w:val="324C352C"/>
    <w:rsid w:val="3253123E"/>
    <w:rsid w:val="32541306"/>
    <w:rsid w:val="32616BB0"/>
    <w:rsid w:val="3265535F"/>
    <w:rsid w:val="32663E64"/>
    <w:rsid w:val="32764F2C"/>
    <w:rsid w:val="32802D3D"/>
    <w:rsid w:val="328D0CD0"/>
    <w:rsid w:val="328D5216"/>
    <w:rsid w:val="328D67E4"/>
    <w:rsid w:val="329570DC"/>
    <w:rsid w:val="329E6876"/>
    <w:rsid w:val="32A825D3"/>
    <w:rsid w:val="32AB1F26"/>
    <w:rsid w:val="32AF043E"/>
    <w:rsid w:val="32B15CF0"/>
    <w:rsid w:val="32B21023"/>
    <w:rsid w:val="32B26B85"/>
    <w:rsid w:val="32B37F2E"/>
    <w:rsid w:val="32BF69BC"/>
    <w:rsid w:val="32C2452D"/>
    <w:rsid w:val="32CB6EF9"/>
    <w:rsid w:val="32CC2D9E"/>
    <w:rsid w:val="32D852A3"/>
    <w:rsid w:val="32E155F2"/>
    <w:rsid w:val="32E52379"/>
    <w:rsid w:val="32EB76C8"/>
    <w:rsid w:val="32F50547"/>
    <w:rsid w:val="32F83B93"/>
    <w:rsid w:val="33122EA7"/>
    <w:rsid w:val="33150BE9"/>
    <w:rsid w:val="33161446"/>
    <w:rsid w:val="33192188"/>
    <w:rsid w:val="331A1284"/>
    <w:rsid w:val="332C1A8F"/>
    <w:rsid w:val="333015F2"/>
    <w:rsid w:val="333171AA"/>
    <w:rsid w:val="33372425"/>
    <w:rsid w:val="333C6E03"/>
    <w:rsid w:val="333E2CBE"/>
    <w:rsid w:val="334B6320"/>
    <w:rsid w:val="33572FB0"/>
    <w:rsid w:val="3358112C"/>
    <w:rsid w:val="335A268C"/>
    <w:rsid w:val="335B0EC4"/>
    <w:rsid w:val="335E433E"/>
    <w:rsid w:val="33631954"/>
    <w:rsid w:val="33641229"/>
    <w:rsid w:val="336A2CE3"/>
    <w:rsid w:val="336B4240"/>
    <w:rsid w:val="337560C0"/>
    <w:rsid w:val="33784CD4"/>
    <w:rsid w:val="33786728"/>
    <w:rsid w:val="337B223B"/>
    <w:rsid w:val="338005D5"/>
    <w:rsid w:val="33813B89"/>
    <w:rsid w:val="3382420E"/>
    <w:rsid w:val="33833DA5"/>
    <w:rsid w:val="33835B53"/>
    <w:rsid w:val="33883169"/>
    <w:rsid w:val="33A65CE5"/>
    <w:rsid w:val="33AA7583"/>
    <w:rsid w:val="33B00199"/>
    <w:rsid w:val="33B72687"/>
    <w:rsid w:val="33B977C6"/>
    <w:rsid w:val="33BE7743"/>
    <w:rsid w:val="33C00B55"/>
    <w:rsid w:val="33D22636"/>
    <w:rsid w:val="33D570D2"/>
    <w:rsid w:val="33D934D4"/>
    <w:rsid w:val="33D95773"/>
    <w:rsid w:val="33DB598F"/>
    <w:rsid w:val="33E51B75"/>
    <w:rsid w:val="33E72F0B"/>
    <w:rsid w:val="33E83C08"/>
    <w:rsid w:val="33E92863"/>
    <w:rsid w:val="33EA3E24"/>
    <w:rsid w:val="33EE4631"/>
    <w:rsid w:val="33F054E1"/>
    <w:rsid w:val="33F702EF"/>
    <w:rsid w:val="33FB67ED"/>
    <w:rsid w:val="33FE2F6A"/>
    <w:rsid w:val="33FE76EF"/>
    <w:rsid w:val="340A0022"/>
    <w:rsid w:val="340E07E5"/>
    <w:rsid w:val="340F3BF0"/>
    <w:rsid w:val="34142C4F"/>
    <w:rsid w:val="34235BF7"/>
    <w:rsid w:val="34240AEE"/>
    <w:rsid w:val="34264730"/>
    <w:rsid w:val="342A06C4"/>
    <w:rsid w:val="342B7BA1"/>
    <w:rsid w:val="343155AF"/>
    <w:rsid w:val="34411E60"/>
    <w:rsid w:val="344205A3"/>
    <w:rsid w:val="34525525"/>
    <w:rsid w:val="34547D6A"/>
    <w:rsid w:val="345834D5"/>
    <w:rsid w:val="34592D57"/>
    <w:rsid w:val="345F12A5"/>
    <w:rsid w:val="345F5768"/>
    <w:rsid w:val="34621C0C"/>
    <w:rsid w:val="34654149"/>
    <w:rsid w:val="34684E59"/>
    <w:rsid w:val="346F23A6"/>
    <w:rsid w:val="347100A1"/>
    <w:rsid w:val="34787592"/>
    <w:rsid w:val="347C4872"/>
    <w:rsid w:val="347D4A62"/>
    <w:rsid w:val="34806536"/>
    <w:rsid w:val="348C0A37"/>
    <w:rsid w:val="348F6779"/>
    <w:rsid w:val="3492595A"/>
    <w:rsid w:val="349D2C44"/>
    <w:rsid w:val="34A55039"/>
    <w:rsid w:val="34A930E6"/>
    <w:rsid w:val="34A94089"/>
    <w:rsid w:val="34AA1D60"/>
    <w:rsid w:val="34B709A3"/>
    <w:rsid w:val="34B87A7E"/>
    <w:rsid w:val="34B9337B"/>
    <w:rsid w:val="34C004E1"/>
    <w:rsid w:val="34C44675"/>
    <w:rsid w:val="34C77608"/>
    <w:rsid w:val="34CE1050"/>
    <w:rsid w:val="34CF285F"/>
    <w:rsid w:val="34D50630"/>
    <w:rsid w:val="34E93C63"/>
    <w:rsid w:val="34EE5EB7"/>
    <w:rsid w:val="35026F4B"/>
    <w:rsid w:val="350B5E00"/>
    <w:rsid w:val="351167CC"/>
    <w:rsid w:val="35143766"/>
    <w:rsid w:val="351729F7"/>
    <w:rsid w:val="35196D76"/>
    <w:rsid w:val="35290DE1"/>
    <w:rsid w:val="352925DB"/>
    <w:rsid w:val="352C5950"/>
    <w:rsid w:val="352D0498"/>
    <w:rsid w:val="35327830"/>
    <w:rsid w:val="35355D35"/>
    <w:rsid w:val="353B1870"/>
    <w:rsid w:val="3547182F"/>
    <w:rsid w:val="355035D2"/>
    <w:rsid w:val="3550415A"/>
    <w:rsid w:val="35524C18"/>
    <w:rsid w:val="35577297"/>
    <w:rsid w:val="35584CEF"/>
    <w:rsid w:val="355A20C2"/>
    <w:rsid w:val="356165A4"/>
    <w:rsid w:val="356749F0"/>
    <w:rsid w:val="3568677F"/>
    <w:rsid w:val="356B01BE"/>
    <w:rsid w:val="356B2D42"/>
    <w:rsid w:val="356D36BB"/>
    <w:rsid w:val="35720726"/>
    <w:rsid w:val="3575771D"/>
    <w:rsid w:val="35775AD9"/>
    <w:rsid w:val="357E0CC8"/>
    <w:rsid w:val="35824B67"/>
    <w:rsid w:val="358C5FA8"/>
    <w:rsid w:val="358F2562"/>
    <w:rsid w:val="35922E85"/>
    <w:rsid w:val="359B5DC0"/>
    <w:rsid w:val="35A65B28"/>
    <w:rsid w:val="35B1413A"/>
    <w:rsid w:val="35BE2E72"/>
    <w:rsid w:val="35C15DF1"/>
    <w:rsid w:val="35C366DA"/>
    <w:rsid w:val="35C91817"/>
    <w:rsid w:val="35CC4CF4"/>
    <w:rsid w:val="35CF7B3E"/>
    <w:rsid w:val="35D24EC2"/>
    <w:rsid w:val="35D501BC"/>
    <w:rsid w:val="35D51E84"/>
    <w:rsid w:val="35D7772A"/>
    <w:rsid w:val="35DA10B1"/>
    <w:rsid w:val="35DB2506"/>
    <w:rsid w:val="35DE52C6"/>
    <w:rsid w:val="35E30B2B"/>
    <w:rsid w:val="35E85390"/>
    <w:rsid w:val="35E87EEF"/>
    <w:rsid w:val="35E93C67"/>
    <w:rsid w:val="35ED3A6A"/>
    <w:rsid w:val="35F9034E"/>
    <w:rsid w:val="35FC013C"/>
    <w:rsid w:val="36074A7F"/>
    <w:rsid w:val="360B70C4"/>
    <w:rsid w:val="360C58AD"/>
    <w:rsid w:val="361E11E0"/>
    <w:rsid w:val="36210223"/>
    <w:rsid w:val="362A0508"/>
    <w:rsid w:val="362A49AB"/>
    <w:rsid w:val="362C40F6"/>
    <w:rsid w:val="362F3D70"/>
    <w:rsid w:val="364A60DA"/>
    <w:rsid w:val="364F61C0"/>
    <w:rsid w:val="36527004"/>
    <w:rsid w:val="365B5004"/>
    <w:rsid w:val="36690854"/>
    <w:rsid w:val="36714388"/>
    <w:rsid w:val="36721CF8"/>
    <w:rsid w:val="3674314B"/>
    <w:rsid w:val="367F050E"/>
    <w:rsid w:val="36814745"/>
    <w:rsid w:val="368536A7"/>
    <w:rsid w:val="36923549"/>
    <w:rsid w:val="369E0EF6"/>
    <w:rsid w:val="36A007CA"/>
    <w:rsid w:val="36A22794"/>
    <w:rsid w:val="36A34C76"/>
    <w:rsid w:val="36A54032"/>
    <w:rsid w:val="36AA789A"/>
    <w:rsid w:val="36AE1139"/>
    <w:rsid w:val="36B14785"/>
    <w:rsid w:val="36B6623F"/>
    <w:rsid w:val="36B75FBF"/>
    <w:rsid w:val="36B97ADD"/>
    <w:rsid w:val="36BD0C45"/>
    <w:rsid w:val="36C24BE4"/>
    <w:rsid w:val="36C96156"/>
    <w:rsid w:val="36D42F69"/>
    <w:rsid w:val="36D77505"/>
    <w:rsid w:val="36D91376"/>
    <w:rsid w:val="36DD557A"/>
    <w:rsid w:val="36E6776B"/>
    <w:rsid w:val="36E96615"/>
    <w:rsid w:val="36F80606"/>
    <w:rsid w:val="36F902EF"/>
    <w:rsid w:val="36FE1E6D"/>
    <w:rsid w:val="37014E10"/>
    <w:rsid w:val="37076A9B"/>
    <w:rsid w:val="370B2F02"/>
    <w:rsid w:val="370B4C04"/>
    <w:rsid w:val="37144D14"/>
    <w:rsid w:val="371B2546"/>
    <w:rsid w:val="371F5B92"/>
    <w:rsid w:val="37272C99"/>
    <w:rsid w:val="372B7E80"/>
    <w:rsid w:val="372F3E21"/>
    <w:rsid w:val="372F77BE"/>
    <w:rsid w:val="37323BB6"/>
    <w:rsid w:val="373619A5"/>
    <w:rsid w:val="374B08D6"/>
    <w:rsid w:val="374D32BD"/>
    <w:rsid w:val="37531CE0"/>
    <w:rsid w:val="375A12C0"/>
    <w:rsid w:val="37600963"/>
    <w:rsid w:val="3761558A"/>
    <w:rsid w:val="37623CD1"/>
    <w:rsid w:val="3763472E"/>
    <w:rsid w:val="37702892"/>
    <w:rsid w:val="377421FB"/>
    <w:rsid w:val="37797999"/>
    <w:rsid w:val="377B09A4"/>
    <w:rsid w:val="3782202E"/>
    <w:rsid w:val="378D5141"/>
    <w:rsid w:val="378F740C"/>
    <w:rsid w:val="37A20571"/>
    <w:rsid w:val="37A84815"/>
    <w:rsid w:val="37B3452D"/>
    <w:rsid w:val="37B671A6"/>
    <w:rsid w:val="37B704C1"/>
    <w:rsid w:val="37BE2FB4"/>
    <w:rsid w:val="37C11674"/>
    <w:rsid w:val="37CD1A92"/>
    <w:rsid w:val="37CD34DE"/>
    <w:rsid w:val="37CE25EF"/>
    <w:rsid w:val="37D15857"/>
    <w:rsid w:val="37D270A9"/>
    <w:rsid w:val="37D47275"/>
    <w:rsid w:val="37DC7F27"/>
    <w:rsid w:val="37DE58E9"/>
    <w:rsid w:val="37E00298"/>
    <w:rsid w:val="37E66D94"/>
    <w:rsid w:val="37E82428"/>
    <w:rsid w:val="37E97DBB"/>
    <w:rsid w:val="37F62453"/>
    <w:rsid w:val="37F963E3"/>
    <w:rsid w:val="37FF59C4"/>
    <w:rsid w:val="380546CC"/>
    <w:rsid w:val="38073753"/>
    <w:rsid w:val="380C5640"/>
    <w:rsid w:val="380F3E59"/>
    <w:rsid w:val="38140D02"/>
    <w:rsid w:val="38194CD8"/>
    <w:rsid w:val="381A45AC"/>
    <w:rsid w:val="38284F1B"/>
    <w:rsid w:val="38293696"/>
    <w:rsid w:val="382A3CB7"/>
    <w:rsid w:val="382D7A36"/>
    <w:rsid w:val="383E473E"/>
    <w:rsid w:val="3841226B"/>
    <w:rsid w:val="38431D54"/>
    <w:rsid w:val="38481119"/>
    <w:rsid w:val="384F4255"/>
    <w:rsid w:val="38500809"/>
    <w:rsid w:val="38546645"/>
    <w:rsid w:val="385C1631"/>
    <w:rsid w:val="38623AF0"/>
    <w:rsid w:val="38684AB1"/>
    <w:rsid w:val="38690197"/>
    <w:rsid w:val="386A5533"/>
    <w:rsid w:val="3888646E"/>
    <w:rsid w:val="3894610C"/>
    <w:rsid w:val="389B393F"/>
    <w:rsid w:val="38A13877"/>
    <w:rsid w:val="38A30A93"/>
    <w:rsid w:val="38A65E3F"/>
    <w:rsid w:val="38B13162"/>
    <w:rsid w:val="38B22A36"/>
    <w:rsid w:val="38B302F9"/>
    <w:rsid w:val="38B61C37"/>
    <w:rsid w:val="38C369F1"/>
    <w:rsid w:val="38CC58A6"/>
    <w:rsid w:val="38D155B2"/>
    <w:rsid w:val="38D51C7C"/>
    <w:rsid w:val="38DD3F57"/>
    <w:rsid w:val="38E53B22"/>
    <w:rsid w:val="38E72437"/>
    <w:rsid w:val="38E8668D"/>
    <w:rsid w:val="38F12CD3"/>
    <w:rsid w:val="38F12D55"/>
    <w:rsid w:val="38F154B7"/>
    <w:rsid w:val="38F92413"/>
    <w:rsid w:val="38F94775"/>
    <w:rsid w:val="38FD0155"/>
    <w:rsid w:val="39047736"/>
    <w:rsid w:val="3905700A"/>
    <w:rsid w:val="390A623C"/>
    <w:rsid w:val="390C11F6"/>
    <w:rsid w:val="39107037"/>
    <w:rsid w:val="39167469"/>
    <w:rsid w:val="39243934"/>
    <w:rsid w:val="392971ED"/>
    <w:rsid w:val="39325651"/>
    <w:rsid w:val="393F076E"/>
    <w:rsid w:val="393F42CA"/>
    <w:rsid w:val="39440F08"/>
    <w:rsid w:val="39472294"/>
    <w:rsid w:val="394848DC"/>
    <w:rsid w:val="394A3978"/>
    <w:rsid w:val="394B3648"/>
    <w:rsid w:val="395849DC"/>
    <w:rsid w:val="395B04F9"/>
    <w:rsid w:val="396A7182"/>
    <w:rsid w:val="398E5251"/>
    <w:rsid w:val="398E5AC6"/>
    <w:rsid w:val="398E6F75"/>
    <w:rsid w:val="399F120C"/>
    <w:rsid w:val="399F2FBB"/>
    <w:rsid w:val="39A07724"/>
    <w:rsid w:val="39A16D33"/>
    <w:rsid w:val="39A8350D"/>
    <w:rsid w:val="39AD0E85"/>
    <w:rsid w:val="39B20B9B"/>
    <w:rsid w:val="39B31FC9"/>
    <w:rsid w:val="39BA7DF4"/>
    <w:rsid w:val="39BC4DEB"/>
    <w:rsid w:val="39C115A0"/>
    <w:rsid w:val="39C1438C"/>
    <w:rsid w:val="39C40C73"/>
    <w:rsid w:val="39C4792F"/>
    <w:rsid w:val="39C96289"/>
    <w:rsid w:val="39CC32DB"/>
    <w:rsid w:val="39E52B4E"/>
    <w:rsid w:val="39ED2D6A"/>
    <w:rsid w:val="39F12020"/>
    <w:rsid w:val="39F53DED"/>
    <w:rsid w:val="39F60115"/>
    <w:rsid w:val="39FA4695"/>
    <w:rsid w:val="39FD5F33"/>
    <w:rsid w:val="3A002911"/>
    <w:rsid w:val="3A0D6650"/>
    <w:rsid w:val="3A184884"/>
    <w:rsid w:val="3A18617B"/>
    <w:rsid w:val="3A191F35"/>
    <w:rsid w:val="3A282C13"/>
    <w:rsid w:val="3A3000B7"/>
    <w:rsid w:val="3A3C6A5B"/>
    <w:rsid w:val="3A3E7D18"/>
    <w:rsid w:val="3A3F7873"/>
    <w:rsid w:val="3A4B4EF0"/>
    <w:rsid w:val="3A4D0C68"/>
    <w:rsid w:val="3A4E0102"/>
    <w:rsid w:val="3A4F4578"/>
    <w:rsid w:val="3A543DA5"/>
    <w:rsid w:val="3A54739E"/>
    <w:rsid w:val="3A59760D"/>
    <w:rsid w:val="3A636012"/>
    <w:rsid w:val="3A6562A8"/>
    <w:rsid w:val="3A7021D5"/>
    <w:rsid w:val="3A770E19"/>
    <w:rsid w:val="3A772600"/>
    <w:rsid w:val="3A814594"/>
    <w:rsid w:val="3A822B5A"/>
    <w:rsid w:val="3A872856"/>
    <w:rsid w:val="3A8770B5"/>
    <w:rsid w:val="3A8772D5"/>
    <w:rsid w:val="3A8B353F"/>
    <w:rsid w:val="3A8D4123"/>
    <w:rsid w:val="3A9768F1"/>
    <w:rsid w:val="3AA0523C"/>
    <w:rsid w:val="3AA50AA5"/>
    <w:rsid w:val="3AA940FA"/>
    <w:rsid w:val="3AAF722D"/>
    <w:rsid w:val="3ABB2076"/>
    <w:rsid w:val="3ABE56C2"/>
    <w:rsid w:val="3AC0768C"/>
    <w:rsid w:val="3AC20A19"/>
    <w:rsid w:val="3AC86BCB"/>
    <w:rsid w:val="3ACA050B"/>
    <w:rsid w:val="3ADB6B8C"/>
    <w:rsid w:val="3AE53CF2"/>
    <w:rsid w:val="3AEA64B7"/>
    <w:rsid w:val="3AF42FE5"/>
    <w:rsid w:val="3AF6688D"/>
    <w:rsid w:val="3AF82C84"/>
    <w:rsid w:val="3AF84B2F"/>
    <w:rsid w:val="3AF9559A"/>
    <w:rsid w:val="3AFC4DE7"/>
    <w:rsid w:val="3AFD443D"/>
    <w:rsid w:val="3B002688"/>
    <w:rsid w:val="3B05332F"/>
    <w:rsid w:val="3B0D0BE7"/>
    <w:rsid w:val="3B196F6D"/>
    <w:rsid w:val="3B2747BD"/>
    <w:rsid w:val="3B2C087E"/>
    <w:rsid w:val="3B2F036E"/>
    <w:rsid w:val="3B3140E6"/>
    <w:rsid w:val="3B3763D1"/>
    <w:rsid w:val="3B3A65B0"/>
    <w:rsid w:val="3B4200A1"/>
    <w:rsid w:val="3B47109D"/>
    <w:rsid w:val="3B474262"/>
    <w:rsid w:val="3B4D438E"/>
    <w:rsid w:val="3B514576"/>
    <w:rsid w:val="3B524733"/>
    <w:rsid w:val="3B5436EF"/>
    <w:rsid w:val="3B570787"/>
    <w:rsid w:val="3B5D0700"/>
    <w:rsid w:val="3B625ED2"/>
    <w:rsid w:val="3B626996"/>
    <w:rsid w:val="3B7038EC"/>
    <w:rsid w:val="3B7566C9"/>
    <w:rsid w:val="3B790B15"/>
    <w:rsid w:val="3B7954EC"/>
    <w:rsid w:val="3B7D6D8C"/>
    <w:rsid w:val="3B7F4E52"/>
    <w:rsid w:val="3B800C7D"/>
    <w:rsid w:val="3B8174E6"/>
    <w:rsid w:val="3B83405E"/>
    <w:rsid w:val="3B86269A"/>
    <w:rsid w:val="3B8B1A48"/>
    <w:rsid w:val="3B8D1890"/>
    <w:rsid w:val="3B903503"/>
    <w:rsid w:val="3B9162E7"/>
    <w:rsid w:val="3B93121D"/>
    <w:rsid w:val="3BA8681B"/>
    <w:rsid w:val="3BAD61F0"/>
    <w:rsid w:val="3BB16FD5"/>
    <w:rsid w:val="3BC727DB"/>
    <w:rsid w:val="3BC907C3"/>
    <w:rsid w:val="3BCC7FD6"/>
    <w:rsid w:val="3BCE6E88"/>
    <w:rsid w:val="3BD173BE"/>
    <w:rsid w:val="3BD86335"/>
    <w:rsid w:val="3BDD73F1"/>
    <w:rsid w:val="3BE850ED"/>
    <w:rsid w:val="3C0122C1"/>
    <w:rsid w:val="3C0435A9"/>
    <w:rsid w:val="3C0549AA"/>
    <w:rsid w:val="3C090BBF"/>
    <w:rsid w:val="3C0B4937"/>
    <w:rsid w:val="3C0E61D6"/>
    <w:rsid w:val="3C1C01CB"/>
    <w:rsid w:val="3C1D466B"/>
    <w:rsid w:val="3C24273E"/>
    <w:rsid w:val="3C261771"/>
    <w:rsid w:val="3C2619A7"/>
    <w:rsid w:val="3C2D0D52"/>
    <w:rsid w:val="3C2F6E1E"/>
    <w:rsid w:val="3C33731B"/>
    <w:rsid w:val="3C3D6ABB"/>
    <w:rsid w:val="3C3F2833"/>
    <w:rsid w:val="3C3F674B"/>
    <w:rsid w:val="3C404243"/>
    <w:rsid w:val="3C425FAB"/>
    <w:rsid w:val="3C445315"/>
    <w:rsid w:val="3C44609B"/>
    <w:rsid w:val="3C483605"/>
    <w:rsid w:val="3C4B6CCE"/>
    <w:rsid w:val="3C4F64BA"/>
    <w:rsid w:val="3C51411E"/>
    <w:rsid w:val="3C5E0F0B"/>
    <w:rsid w:val="3C666012"/>
    <w:rsid w:val="3C734702"/>
    <w:rsid w:val="3C766B7C"/>
    <w:rsid w:val="3C80719C"/>
    <w:rsid w:val="3C88242C"/>
    <w:rsid w:val="3C8D0158"/>
    <w:rsid w:val="3C917532"/>
    <w:rsid w:val="3C920BB5"/>
    <w:rsid w:val="3C951B6B"/>
    <w:rsid w:val="3C98437C"/>
    <w:rsid w:val="3C9B4B80"/>
    <w:rsid w:val="3CA1704A"/>
    <w:rsid w:val="3CA246EE"/>
    <w:rsid w:val="3CBB45AF"/>
    <w:rsid w:val="3CBB635D"/>
    <w:rsid w:val="3CC12DB8"/>
    <w:rsid w:val="3CC278EC"/>
    <w:rsid w:val="3CD94A35"/>
    <w:rsid w:val="3CDA245A"/>
    <w:rsid w:val="3CEC2B6C"/>
    <w:rsid w:val="3CEC4D1D"/>
    <w:rsid w:val="3CF03B2D"/>
    <w:rsid w:val="3CF47AC1"/>
    <w:rsid w:val="3CF950D8"/>
    <w:rsid w:val="3CFB4687"/>
    <w:rsid w:val="3CFE3D06"/>
    <w:rsid w:val="3D06151D"/>
    <w:rsid w:val="3D092180"/>
    <w:rsid w:val="3D0B0CBA"/>
    <w:rsid w:val="3D0E3C25"/>
    <w:rsid w:val="3D1141CF"/>
    <w:rsid w:val="3D123073"/>
    <w:rsid w:val="3D163594"/>
    <w:rsid w:val="3D1E06B7"/>
    <w:rsid w:val="3D1F43DA"/>
    <w:rsid w:val="3D211F38"/>
    <w:rsid w:val="3D212A6B"/>
    <w:rsid w:val="3D257C7B"/>
    <w:rsid w:val="3D2F0AF9"/>
    <w:rsid w:val="3D3103CE"/>
    <w:rsid w:val="3D344362"/>
    <w:rsid w:val="3D392029"/>
    <w:rsid w:val="3D396543"/>
    <w:rsid w:val="3D3D500A"/>
    <w:rsid w:val="3D3F41CB"/>
    <w:rsid w:val="3D410599"/>
    <w:rsid w:val="3D4278A1"/>
    <w:rsid w:val="3D487BE3"/>
    <w:rsid w:val="3D49558C"/>
    <w:rsid w:val="3D4A148F"/>
    <w:rsid w:val="3D4E5423"/>
    <w:rsid w:val="3D4F1BA9"/>
    <w:rsid w:val="3D5D49E0"/>
    <w:rsid w:val="3D6850A6"/>
    <w:rsid w:val="3D696423"/>
    <w:rsid w:val="3D6E1F52"/>
    <w:rsid w:val="3D7058E6"/>
    <w:rsid w:val="3D7277B6"/>
    <w:rsid w:val="3D762284"/>
    <w:rsid w:val="3D7C6F1A"/>
    <w:rsid w:val="3D824C2F"/>
    <w:rsid w:val="3D840E45"/>
    <w:rsid w:val="3D8441F8"/>
    <w:rsid w:val="3D8C5F4C"/>
    <w:rsid w:val="3D907CCA"/>
    <w:rsid w:val="3D911BB5"/>
    <w:rsid w:val="3D962B8D"/>
    <w:rsid w:val="3D9A63FA"/>
    <w:rsid w:val="3D9C659F"/>
    <w:rsid w:val="3DA54F03"/>
    <w:rsid w:val="3DA615D4"/>
    <w:rsid w:val="3DAF5796"/>
    <w:rsid w:val="3DB17760"/>
    <w:rsid w:val="3DB23646"/>
    <w:rsid w:val="3DB25D3C"/>
    <w:rsid w:val="3DB626BF"/>
    <w:rsid w:val="3DBA798D"/>
    <w:rsid w:val="3DBF3C2B"/>
    <w:rsid w:val="3DD00E67"/>
    <w:rsid w:val="3DD05E38"/>
    <w:rsid w:val="3DDA6CB7"/>
    <w:rsid w:val="3DE11DF4"/>
    <w:rsid w:val="3DE511B8"/>
    <w:rsid w:val="3DE904E5"/>
    <w:rsid w:val="3E045AE2"/>
    <w:rsid w:val="3E166B07"/>
    <w:rsid w:val="3E183CC8"/>
    <w:rsid w:val="3E195E91"/>
    <w:rsid w:val="3E226AE7"/>
    <w:rsid w:val="3E2873D2"/>
    <w:rsid w:val="3E2E1B70"/>
    <w:rsid w:val="3E3612B1"/>
    <w:rsid w:val="3E38452F"/>
    <w:rsid w:val="3E38578C"/>
    <w:rsid w:val="3E3E7246"/>
    <w:rsid w:val="3E3F24F8"/>
    <w:rsid w:val="3E412892"/>
    <w:rsid w:val="3E4709F6"/>
    <w:rsid w:val="3E481E73"/>
    <w:rsid w:val="3E53070E"/>
    <w:rsid w:val="3E535BCF"/>
    <w:rsid w:val="3E5C6203"/>
    <w:rsid w:val="3E5C76CC"/>
    <w:rsid w:val="3E6447D3"/>
    <w:rsid w:val="3E6E3030"/>
    <w:rsid w:val="3E7D4D57"/>
    <w:rsid w:val="3E817133"/>
    <w:rsid w:val="3E8E5781"/>
    <w:rsid w:val="3E9A1FA2"/>
    <w:rsid w:val="3EA64DEB"/>
    <w:rsid w:val="3EAA3A5E"/>
    <w:rsid w:val="3EAF3CA0"/>
    <w:rsid w:val="3EC139D3"/>
    <w:rsid w:val="3EC42BAD"/>
    <w:rsid w:val="3EC93D6A"/>
    <w:rsid w:val="3ECA11F4"/>
    <w:rsid w:val="3ED174A1"/>
    <w:rsid w:val="3ED178D0"/>
    <w:rsid w:val="3ED26AFE"/>
    <w:rsid w:val="3ED73E6A"/>
    <w:rsid w:val="3ED8774E"/>
    <w:rsid w:val="3ED95D3C"/>
    <w:rsid w:val="3EDA0523"/>
    <w:rsid w:val="3EDF3E59"/>
    <w:rsid w:val="3EEC6F3B"/>
    <w:rsid w:val="3EF70875"/>
    <w:rsid w:val="3EFB0C93"/>
    <w:rsid w:val="3EFC2C5D"/>
    <w:rsid w:val="3EFC7899"/>
    <w:rsid w:val="3EFD22EA"/>
    <w:rsid w:val="3EFD68FA"/>
    <w:rsid w:val="3F073CF2"/>
    <w:rsid w:val="3F0A537A"/>
    <w:rsid w:val="3F0E046E"/>
    <w:rsid w:val="3F125A00"/>
    <w:rsid w:val="3F1B30E3"/>
    <w:rsid w:val="3F1D1D3F"/>
    <w:rsid w:val="3F1F1D65"/>
    <w:rsid w:val="3F1F6BD2"/>
    <w:rsid w:val="3F2C0F9F"/>
    <w:rsid w:val="3F2D1069"/>
    <w:rsid w:val="3F322041"/>
    <w:rsid w:val="3F322C4F"/>
    <w:rsid w:val="3F3A001F"/>
    <w:rsid w:val="3F430ABB"/>
    <w:rsid w:val="3F4A39C9"/>
    <w:rsid w:val="3F4D70FC"/>
    <w:rsid w:val="3F525163"/>
    <w:rsid w:val="3F536D21"/>
    <w:rsid w:val="3F5C2679"/>
    <w:rsid w:val="3F5E1222"/>
    <w:rsid w:val="3F626050"/>
    <w:rsid w:val="3F6A1A89"/>
    <w:rsid w:val="3F760C61"/>
    <w:rsid w:val="3F7E0F40"/>
    <w:rsid w:val="3F8120EB"/>
    <w:rsid w:val="3F8376A9"/>
    <w:rsid w:val="3F852C53"/>
    <w:rsid w:val="3F8958BB"/>
    <w:rsid w:val="3F92292D"/>
    <w:rsid w:val="3F933F5E"/>
    <w:rsid w:val="3F942E96"/>
    <w:rsid w:val="3F981A43"/>
    <w:rsid w:val="3F9F3640"/>
    <w:rsid w:val="3FA02712"/>
    <w:rsid w:val="3FA23616"/>
    <w:rsid w:val="3FA330D9"/>
    <w:rsid w:val="3FB73919"/>
    <w:rsid w:val="3FC217B1"/>
    <w:rsid w:val="3FC711CC"/>
    <w:rsid w:val="3FCC7022"/>
    <w:rsid w:val="3FD140EA"/>
    <w:rsid w:val="3FD468A9"/>
    <w:rsid w:val="3FD61C03"/>
    <w:rsid w:val="3FE0432D"/>
    <w:rsid w:val="3FF52BE2"/>
    <w:rsid w:val="3FF9375A"/>
    <w:rsid w:val="3FFF2A05"/>
    <w:rsid w:val="40073F8E"/>
    <w:rsid w:val="400B3158"/>
    <w:rsid w:val="401541B2"/>
    <w:rsid w:val="401A783F"/>
    <w:rsid w:val="402908FA"/>
    <w:rsid w:val="402B0CB6"/>
    <w:rsid w:val="40315E68"/>
    <w:rsid w:val="403A3233"/>
    <w:rsid w:val="404818F4"/>
    <w:rsid w:val="40491ED2"/>
    <w:rsid w:val="404D20C8"/>
    <w:rsid w:val="40570205"/>
    <w:rsid w:val="40574905"/>
    <w:rsid w:val="406100C9"/>
    <w:rsid w:val="406311E6"/>
    <w:rsid w:val="406460BB"/>
    <w:rsid w:val="406A264A"/>
    <w:rsid w:val="407A3927"/>
    <w:rsid w:val="407A6407"/>
    <w:rsid w:val="407F58F4"/>
    <w:rsid w:val="408A38BC"/>
    <w:rsid w:val="4090365D"/>
    <w:rsid w:val="409E4AE2"/>
    <w:rsid w:val="409F3DD0"/>
    <w:rsid w:val="40A639A7"/>
    <w:rsid w:val="40A647B2"/>
    <w:rsid w:val="40AB0497"/>
    <w:rsid w:val="40B370E4"/>
    <w:rsid w:val="40B66DB5"/>
    <w:rsid w:val="40BC26A4"/>
    <w:rsid w:val="40C12798"/>
    <w:rsid w:val="40C41559"/>
    <w:rsid w:val="40C559FD"/>
    <w:rsid w:val="40D914A8"/>
    <w:rsid w:val="40D95004"/>
    <w:rsid w:val="40DA0D6F"/>
    <w:rsid w:val="40E5489F"/>
    <w:rsid w:val="40E56C11"/>
    <w:rsid w:val="40E57E4D"/>
    <w:rsid w:val="40EB272F"/>
    <w:rsid w:val="40EF5332"/>
    <w:rsid w:val="40FB0C64"/>
    <w:rsid w:val="40FD2BE9"/>
    <w:rsid w:val="4101455B"/>
    <w:rsid w:val="410A340F"/>
    <w:rsid w:val="410C08BD"/>
    <w:rsid w:val="410D0520"/>
    <w:rsid w:val="41116353"/>
    <w:rsid w:val="4112033F"/>
    <w:rsid w:val="411E3BEE"/>
    <w:rsid w:val="41273B47"/>
    <w:rsid w:val="412D4585"/>
    <w:rsid w:val="412F2E76"/>
    <w:rsid w:val="41377F7D"/>
    <w:rsid w:val="4141102E"/>
    <w:rsid w:val="41412BA9"/>
    <w:rsid w:val="414508EB"/>
    <w:rsid w:val="41517290"/>
    <w:rsid w:val="4156776A"/>
    <w:rsid w:val="415A7FB0"/>
    <w:rsid w:val="41661625"/>
    <w:rsid w:val="416B7C26"/>
    <w:rsid w:val="416E0050"/>
    <w:rsid w:val="41785E1A"/>
    <w:rsid w:val="417941CF"/>
    <w:rsid w:val="4180276F"/>
    <w:rsid w:val="418331C2"/>
    <w:rsid w:val="4186208F"/>
    <w:rsid w:val="41886F2E"/>
    <w:rsid w:val="418B4A67"/>
    <w:rsid w:val="41AE273A"/>
    <w:rsid w:val="41B23ED8"/>
    <w:rsid w:val="41B31CF9"/>
    <w:rsid w:val="41BC71FF"/>
    <w:rsid w:val="41BF069E"/>
    <w:rsid w:val="41C07F72"/>
    <w:rsid w:val="41DB7D1B"/>
    <w:rsid w:val="41DE6FFD"/>
    <w:rsid w:val="41E31860"/>
    <w:rsid w:val="41E51589"/>
    <w:rsid w:val="41F12821"/>
    <w:rsid w:val="41F13AC7"/>
    <w:rsid w:val="41F27802"/>
    <w:rsid w:val="4200449D"/>
    <w:rsid w:val="42106556"/>
    <w:rsid w:val="421309EA"/>
    <w:rsid w:val="421C7C67"/>
    <w:rsid w:val="4220457D"/>
    <w:rsid w:val="42281F26"/>
    <w:rsid w:val="42295711"/>
    <w:rsid w:val="422C741A"/>
    <w:rsid w:val="423A0DA7"/>
    <w:rsid w:val="423A3BCC"/>
    <w:rsid w:val="423C0884"/>
    <w:rsid w:val="42401EA8"/>
    <w:rsid w:val="424111DC"/>
    <w:rsid w:val="424C6D36"/>
    <w:rsid w:val="424D1CB4"/>
    <w:rsid w:val="424E57D2"/>
    <w:rsid w:val="424F6839"/>
    <w:rsid w:val="42506E86"/>
    <w:rsid w:val="42597F25"/>
    <w:rsid w:val="426347BC"/>
    <w:rsid w:val="42660E79"/>
    <w:rsid w:val="426A6148"/>
    <w:rsid w:val="42752FA8"/>
    <w:rsid w:val="42770F78"/>
    <w:rsid w:val="427F7E2D"/>
    <w:rsid w:val="42816CC0"/>
    <w:rsid w:val="428E0609"/>
    <w:rsid w:val="428E1E1E"/>
    <w:rsid w:val="42930F2C"/>
    <w:rsid w:val="42982C9D"/>
    <w:rsid w:val="42984A4B"/>
    <w:rsid w:val="429B1DB3"/>
    <w:rsid w:val="42A03F20"/>
    <w:rsid w:val="42A41642"/>
    <w:rsid w:val="42A51E5B"/>
    <w:rsid w:val="42B268A4"/>
    <w:rsid w:val="42B26C49"/>
    <w:rsid w:val="42B555FD"/>
    <w:rsid w:val="42B903A7"/>
    <w:rsid w:val="42BA1B85"/>
    <w:rsid w:val="42BF46CD"/>
    <w:rsid w:val="42D31FDE"/>
    <w:rsid w:val="42DA3687"/>
    <w:rsid w:val="42E60428"/>
    <w:rsid w:val="42E613D2"/>
    <w:rsid w:val="42E727E8"/>
    <w:rsid w:val="42EE20D2"/>
    <w:rsid w:val="42F205FF"/>
    <w:rsid w:val="42F745AC"/>
    <w:rsid w:val="42FE51F6"/>
    <w:rsid w:val="42FF46C0"/>
    <w:rsid w:val="4300652A"/>
    <w:rsid w:val="43087E22"/>
    <w:rsid w:val="43163BC9"/>
    <w:rsid w:val="431F344E"/>
    <w:rsid w:val="43210EE4"/>
    <w:rsid w:val="432D6D83"/>
    <w:rsid w:val="43364990"/>
    <w:rsid w:val="433A6FE6"/>
    <w:rsid w:val="433F136A"/>
    <w:rsid w:val="433F52B4"/>
    <w:rsid w:val="4346094B"/>
    <w:rsid w:val="43480868"/>
    <w:rsid w:val="434F77FF"/>
    <w:rsid w:val="4350713C"/>
    <w:rsid w:val="4357125C"/>
    <w:rsid w:val="435A2366"/>
    <w:rsid w:val="435F0B2A"/>
    <w:rsid w:val="436128DC"/>
    <w:rsid w:val="436653E0"/>
    <w:rsid w:val="43670C0E"/>
    <w:rsid w:val="43700CDE"/>
    <w:rsid w:val="4374370A"/>
    <w:rsid w:val="43751D55"/>
    <w:rsid w:val="43875B8B"/>
    <w:rsid w:val="4389792D"/>
    <w:rsid w:val="438F518B"/>
    <w:rsid w:val="438F5E4E"/>
    <w:rsid w:val="43996CCD"/>
    <w:rsid w:val="43A11432"/>
    <w:rsid w:val="43A52D82"/>
    <w:rsid w:val="43AE5BA3"/>
    <w:rsid w:val="43BE0F01"/>
    <w:rsid w:val="43C2386E"/>
    <w:rsid w:val="43C4431A"/>
    <w:rsid w:val="43CE3256"/>
    <w:rsid w:val="43D146B8"/>
    <w:rsid w:val="43D2700B"/>
    <w:rsid w:val="43D47D05"/>
    <w:rsid w:val="43D67E2F"/>
    <w:rsid w:val="43DE2880"/>
    <w:rsid w:val="43DE3E4E"/>
    <w:rsid w:val="43E51F12"/>
    <w:rsid w:val="43E641A4"/>
    <w:rsid w:val="43E75C8A"/>
    <w:rsid w:val="43EB5759"/>
    <w:rsid w:val="43F263DD"/>
    <w:rsid w:val="43FE58B0"/>
    <w:rsid w:val="43FF7C09"/>
    <w:rsid w:val="440706E9"/>
    <w:rsid w:val="4411251A"/>
    <w:rsid w:val="44133A3C"/>
    <w:rsid w:val="442C5B3E"/>
    <w:rsid w:val="442E4DA6"/>
    <w:rsid w:val="44351302"/>
    <w:rsid w:val="44356B2B"/>
    <w:rsid w:val="4436276D"/>
    <w:rsid w:val="44373DD6"/>
    <w:rsid w:val="44382B77"/>
    <w:rsid w:val="443864E5"/>
    <w:rsid w:val="44396AE3"/>
    <w:rsid w:val="44426644"/>
    <w:rsid w:val="4444055D"/>
    <w:rsid w:val="444421E3"/>
    <w:rsid w:val="444F55DD"/>
    <w:rsid w:val="445B0426"/>
    <w:rsid w:val="445D5556"/>
    <w:rsid w:val="446612A5"/>
    <w:rsid w:val="446D2E47"/>
    <w:rsid w:val="448108DD"/>
    <w:rsid w:val="448160DE"/>
    <w:rsid w:val="44850F49"/>
    <w:rsid w:val="44872FC9"/>
    <w:rsid w:val="44891EC3"/>
    <w:rsid w:val="44900BDB"/>
    <w:rsid w:val="44937BC0"/>
    <w:rsid w:val="449879E4"/>
    <w:rsid w:val="449A2CFC"/>
    <w:rsid w:val="449F777A"/>
    <w:rsid w:val="44B06604"/>
    <w:rsid w:val="44B21378"/>
    <w:rsid w:val="44B951CC"/>
    <w:rsid w:val="44C67BA4"/>
    <w:rsid w:val="44CD14E0"/>
    <w:rsid w:val="44D81A76"/>
    <w:rsid w:val="44DB336B"/>
    <w:rsid w:val="44DF7728"/>
    <w:rsid w:val="44E03C77"/>
    <w:rsid w:val="44F20B0B"/>
    <w:rsid w:val="44F468B0"/>
    <w:rsid w:val="44F54637"/>
    <w:rsid w:val="44F72253"/>
    <w:rsid w:val="450133DD"/>
    <w:rsid w:val="45095099"/>
    <w:rsid w:val="45113F8E"/>
    <w:rsid w:val="451C76C6"/>
    <w:rsid w:val="45252F0E"/>
    <w:rsid w:val="452728A6"/>
    <w:rsid w:val="45273C98"/>
    <w:rsid w:val="4529713A"/>
    <w:rsid w:val="452E5F4C"/>
    <w:rsid w:val="453A0A5B"/>
    <w:rsid w:val="453B44DF"/>
    <w:rsid w:val="453E7B2C"/>
    <w:rsid w:val="453F5652"/>
    <w:rsid w:val="45413807"/>
    <w:rsid w:val="4541761C"/>
    <w:rsid w:val="45442C68"/>
    <w:rsid w:val="454C7840"/>
    <w:rsid w:val="45510CB8"/>
    <w:rsid w:val="4554273F"/>
    <w:rsid w:val="455E1F7C"/>
    <w:rsid w:val="455F1FA2"/>
    <w:rsid w:val="45612018"/>
    <w:rsid w:val="456F4713"/>
    <w:rsid w:val="45804AFF"/>
    <w:rsid w:val="45813692"/>
    <w:rsid w:val="45827D0F"/>
    <w:rsid w:val="45833790"/>
    <w:rsid w:val="458946E9"/>
    <w:rsid w:val="45896239"/>
    <w:rsid w:val="45A061CA"/>
    <w:rsid w:val="45A47C0E"/>
    <w:rsid w:val="45AA6F6F"/>
    <w:rsid w:val="45AD4534"/>
    <w:rsid w:val="45BC0C00"/>
    <w:rsid w:val="45C13F87"/>
    <w:rsid w:val="45C504A5"/>
    <w:rsid w:val="45CA11A3"/>
    <w:rsid w:val="45D40490"/>
    <w:rsid w:val="45DB181E"/>
    <w:rsid w:val="45EE77A4"/>
    <w:rsid w:val="45FB5E21"/>
    <w:rsid w:val="45FE550D"/>
    <w:rsid w:val="46032C15"/>
    <w:rsid w:val="460D74FE"/>
    <w:rsid w:val="460E39A2"/>
    <w:rsid w:val="461A0599"/>
    <w:rsid w:val="461D2384"/>
    <w:rsid w:val="461D6FB9"/>
    <w:rsid w:val="462349A0"/>
    <w:rsid w:val="46236E90"/>
    <w:rsid w:val="46260ED0"/>
    <w:rsid w:val="462C3E28"/>
    <w:rsid w:val="463434E7"/>
    <w:rsid w:val="463645C2"/>
    <w:rsid w:val="46366A55"/>
    <w:rsid w:val="463D6053"/>
    <w:rsid w:val="463F3F81"/>
    <w:rsid w:val="4651388E"/>
    <w:rsid w:val="46577FD6"/>
    <w:rsid w:val="465B470D"/>
    <w:rsid w:val="465F5FAB"/>
    <w:rsid w:val="46671E65"/>
    <w:rsid w:val="46704FD0"/>
    <w:rsid w:val="4675371F"/>
    <w:rsid w:val="46761547"/>
    <w:rsid w:val="467B66CA"/>
    <w:rsid w:val="46861C23"/>
    <w:rsid w:val="46894842"/>
    <w:rsid w:val="468C4F26"/>
    <w:rsid w:val="4690085B"/>
    <w:rsid w:val="46987569"/>
    <w:rsid w:val="469B31C9"/>
    <w:rsid w:val="46A936CA"/>
    <w:rsid w:val="46BD2065"/>
    <w:rsid w:val="46BF340A"/>
    <w:rsid w:val="46C40504"/>
    <w:rsid w:val="46C45275"/>
    <w:rsid w:val="46C95B1B"/>
    <w:rsid w:val="46CA06AB"/>
    <w:rsid w:val="46CB36E3"/>
    <w:rsid w:val="46CC1183"/>
    <w:rsid w:val="46D64180"/>
    <w:rsid w:val="46D71FE6"/>
    <w:rsid w:val="46D83FB0"/>
    <w:rsid w:val="46D955A7"/>
    <w:rsid w:val="46F72DE3"/>
    <w:rsid w:val="4702777E"/>
    <w:rsid w:val="47037CAB"/>
    <w:rsid w:val="470B1C8F"/>
    <w:rsid w:val="47133957"/>
    <w:rsid w:val="471B2A16"/>
    <w:rsid w:val="471F398D"/>
    <w:rsid w:val="472478D7"/>
    <w:rsid w:val="47292B81"/>
    <w:rsid w:val="472A7E11"/>
    <w:rsid w:val="472D42FC"/>
    <w:rsid w:val="47347438"/>
    <w:rsid w:val="47356D0C"/>
    <w:rsid w:val="47360BEB"/>
    <w:rsid w:val="473C62ED"/>
    <w:rsid w:val="473D0528"/>
    <w:rsid w:val="474927B8"/>
    <w:rsid w:val="475C4CD8"/>
    <w:rsid w:val="476421B7"/>
    <w:rsid w:val="4766336A"/>
    <w:rsid w:val="476A4431"/>
    <w:rsid w:val="476B713C"/>
    <w:rsid w:val="476D4446"/>
    <w:rsid w:val="477146FA"/>
    <w:rsid w:val="47727F60"/>
    <w:rsid w:val="47731352"/>
    <w:rsid w:val="477479F3"/>
    <w:rsid w:val="47764131"/>
    <w:rsid w:val="477B5067"/>
    <w:rsid w:val="477E2E27"/>
    <w:rsid w:val="478101A3"/>
    <w:rsid w:val="478364E6"/>
    <w:rsid w:val="47886F89"/>
    <w:rsid w:val="478D4D9A"/>
    <w:rsid w:val="4790670D"/>
    <w:rsid w:val="479678E6"/>
    <w:rsid w:val="479779C7"/>
    <w:rsid w:val="47A0687C"/>
    <w:rsid w:val="47A07E0C"/>
    <w:rsid w:val="47A10846"/>
    <w:rsid w:val="47A40F1D"/>
    <w:rsid w:val="47B2734D"/>
    <w:rsid w:val="47BC74AE"/>
    <w:rsid w:val="47BF77EE"/>
    <w:rsid w:val="47C03448"/>
    <w:rsid w:val="47C37498"/>
    <w:rsid w:val="47C84688"/>
    <w:rsid w:val="47D26B14"/>
    <w:rsid w:val="47D6229D"/>
    <w:rsid w:val="47DC187E"/>
    <w:rsid w:val="47E31589"/>
    <w:rsid w:val="47E50732"/>
    <w:rsid w:val="47F6649C"/>
    <w:rsid w:val="48027FE8"/>
    <w:rsid w:val="48054931"/>
    <w:rsid w:val="4805593F"/>
    <w:rsid w:val="4812529F"/>
    <w:rsid w:val="48146CC9"/>
    <w:rsid w:val="4819662E"/>
    <w:rsid w:val="481F4B75"/>
    <w:rsid w:val="48276897"/>
    <w:rsid w:val="482A083B"/>
    <w:rsid w:val="48366CE4"/>
    <w:rsid w:val="483C369A"/>
    <w:rsid w:val="48482A6F"/>
    <w:rsid w:val="484A2C8B"/>
    <w:rsid w:val="484F4E40"/>
    <w:rsid w:val="484F663C"/>
    <w:rsid w:val="48550365"/>
    <w:rsid w:val="48660F1A"/>
    <w:rsid w:val="486755EB"/>
    <w:rsid w:val="48694053"/>
    <w:rsid w:val="486C0C40"/>
    <w:rsid w:val="4870272E"/>
    <w:rsid w:val="48715BA2"/>
    <w:rsid w:val="487970CD"/>
    <w:rsid w:val="4883407F"/>
    <w:rsid w:val="488461EA"/>
    <w:rsid w:val="48863CC1"/>
    <w:rsid w:val="48884C46"/>
    <w:rsid w:val="4889774F"/>
    <w:rsid w:val="488B752C"/>
    <w:rsid w:val="488D4BAD"/>
    <w:rsid w:val="48914579"/>
    <w:rsid w:val="48936700"/>
    <w:rsid w:val="48945A92"/>
    <w:rsid w:val="48B07444"/>
    <w:rsid w:val="48B265ED"/>
    <w:rsid w:val="48B3438D"/>
    <w:rsid w:val="48BC6C0F"/>
    <w:rsid w:val="48C26CC5"/>
    <w:rsid w:val="48C42A3E"/>
    <w:rsid w:val="48C709DC"/>
    <w:rsid w:val="48CC36A0"/>
    <w:rsid w:val="48D367DD"/>
    <w:rsid w:val="48DF6DC3"/>
    <w:rsid w:val="48F055E1"/>
    <w:rsid w:val="48FA1FBB"/>
    <w:rsid w:val="48FB1A33"/>
    <w:rsid w:val="48FC21D7"/>
    <w:rsid w:val="49030DF5"/>
    <w:rsid w:val="49036FAD"/>
    <w:rsid w:val="49137521"/>
    <w:rsid w:val="49150D38"/>
    <w:rsid w:val="491628CD"/>
    <w:rsid w:val="491E2673"/>
    <w:rsid w:val="49234B7C"/>
    <w:rsid w:val="492D2987"/>
    <w:rsid w:val="492D2D4C"/>
    <w:rsid w:val="49303C2F"/>
    <w:rsid w:val="493C173E"/>
    <w:rsid w:val="493C4382"/>
    <w:rsid w:val="493F52F0"/>
    <w:rsid w:val="49427966"/>
    <w:rsid w:val="494C18D9"/>
    <w:rsid w:val="494C4FAF"/>
    <w:rsid w:val="495058D2"/>
    <w:rsid w:val="495913D8"/>
    <w:rsid w:val="495A6EFE"/>
    <w:rsid w:val="495C360E"/>
    <w:rsid w:val="4961028C"/>
    <w:rsid w:val="49623857"/>
    <w:rsid w:val="496256A7"/>
    <w:rsid w:val="49635DB3"/>
    <w:rsid w:val="49645A04"/>
    <w:rsid w:val="4968161B"/>
    <w:rsid w:val="49734EE9"/>
    <w:rsid w:val="4977360C"/>
    <w:rsid w:val="497B6133"/>
    <w:rsid w:val="497C50C6"/>
    <w:rsid w:val="497F6965"/>
    <w:rsid w:val="49830203"/>
    <w:rsid w:val="49861AA1"/>
    <w:rsid w:val="498B0DFD"/>
    <w:rsid w:val="498B3D92"/>
    <w:rsid w:val="4999589F"/>
    <w:rsid w:val="49997A26"/>
    <w:rsid w:val="499E147E"/>
    <w:rsid w:val="499E6DEB"/>
    <w:rsid w:val="49A87D4C"/>
    <w:rsid w:val="49A942DE"/>
    <w:rsid w:val="49B303BC"/>
    <w:rsid w:val="49B64276"/>
    <w:rsid w:val="49B91E77"/>
    <w:rsid w:val="49C568B6"/>
    <w:rsid w:val="49C66463"/>
    <w:rsid w:val="49CF0D32"/>
    <w:rsid w:val="49D56A3C"/>
    <w:rsid w:val="49D97E23"/>
    <w:rsid w:val="49DC7715"/>
    <w:rsid w:val="49DC7913"/>
    <w:rsid w:val="49DD08D7"/>
    <w:rsid w:val="49DE5687"/>
    <w:rsid w:val="49DF316E"/>
    <w:rsid w:val="49DF6DE5"/>
    <w:rsid w:val="49E13160"/>
    <w:rsid w:val="49E62540"/>
    <w:rsid w:val="49EA2030"/>
    <w:rsid w:val="49EC517E"/>
    <w:rsid w:val="49F27102"/>
    <w:rsid w:val="49F5335F"/>
    <w:rsid w:val="49F547F1"/>
    <w:rsid w:val="49F55123"/>
    <w:rsid w:val="49FC72B8"/>
    <w:rsid w:val="4A023139"/>
    <w:rsid w:val="4A0B7861"/>
    <w:rsid w:val="4A0F1A96"/>
    <w:rsid w:val="4A113A61"/>
    <w:rsid w:val="4A116F0F"/>
    <w:rsid w:val="4A1A342C"/>
    <w:rsid w:val="4A1C013A"/>
    <w:rsid w:val="4A201EF6"/>
    <w:rsid w:val="4A207730"/>
    <w:rsid w:val="4A2A58D2"/>
    <w:rsid w:val="4A2C1FEA"/>
    <w:rsid w:val="4A38723F"/>
    <w:rsid w:val="4A392FB7"/>
    <w:rsid w:val="4A3B1D7D"/>
    <w:rsid w:val="4A3C100B"/>
    <w:rsid w:val="4A447967"/>
    <w:rsid w:val="4A4C7F15"/>
    <w:rsid w:val="4A4D0811"/>
    <w:rsid w:val="4A4E6A63"/>
    <w:rsid w:val="4A51269F"/>
    <w:rsid w:val="4A5218B8"/>
    <w:rsid w:val="4A5A45EC"/>
    <w:rsid w:val="4A5E2A1E"/>
    <w:rsid w:val="4A634597"/>
    <w:rsid w:val="4A6A6C57"/>
    <w:rsid w:val="4A7162AD"/>
    <w:rsid w:val="4A742241"/>
    <w:rsid w:val="4A77763C"/>
    <w:rsid w:val="4A7B576F"/>
    <w:rsid w:val="4A7D4C52"/>
    <w:rsid w:val="4A7F4E6E"/>
    <w:rsid w:val="4A82758C"/>
    <w:rsid w:val="4A8A406B"/>
    <w:rsid w:val="4A8D28C4"/>
    <w:rsid w:val="4A990B0B"/>
    <w:rsid w:val="4A9F02DA"/>
    <w:rsid w:val="4AA81E95"/>
    <w:rsid w:val="4AA93C99"/>
    <w:rsid w:val="4AAC3789"/>
    <w:rsid w:val="4AAE12AF"/>
    <w:rsid w:val="4AB07C4E"/>
    <w:rsid w:val="4AC22FAD"/>
    <w:rsid w:val="4AC30FEE"/>
    <w:rsid w:val="4AC46D25"/>
    <w:rsid w:val="4AC76815"/>
    <w:rsid w:val="4AD8457E"/>
    <w:rsid w:val="4AE01685"/>
    <w:rsid w:val="4AE747C1"/>
    <w:rsid w:val="4AE77161"/>
    <w:rsid w:val="4AF1075A"/>
    <w:rsid w:val="4AF54A85"/>
    <w:rsid w:val="4AF561A9"/>
    <w:rsid w:val="4AF66009"/>
    <w:rsid w:val="4AF93672"/>
    <w:rsid w:val="4AF96DDC"/>
    <w:rsid w:val="4AFB026D"/>
    <w:rsid w:val="4B025019"/>
    <w:rsid w:val="4B03749E"/>
    <w:rsid w:val="4B07397E"/>
    <w:rsid w:val="4B0843B0"/>
    <w:rsid w:val="4B11183E"/>
    <w:rsid w:val="4B154540"/>
    <w:rsid w:val="4B170431"/>
    <w:rsid w:val="4B1B446B"/>
    <w:rsid w:val="4B223AA8"/>
    <w:rsid w:val="4B226A7C"/>
    <w:rsid w:val="4B241592"/>
    <w:rsid w:val="4B276BEA"/>
    <w:rsid w:val="4B2C48CA"/>
    <w:rsid w:val="4B315CB3"/>
    <w:rsid w:val="4B351009"/>
    <w:rsid w:val="4B392E9C"/>
    <w:rsid w:val="4B3C2D5F"/>
    <w:rsid w:val="4B42212B"/>
    <w:rsid w:val="4B49722A"/>
    <w:rsid w:val="4B58121B"/>
    <w:rsid w:val="4B5D6832"/>
    <w:rsid w:val="4B616D7D"/>
    <w:rsid w:val="4B663E6C"/>
    <w:rsid w:val="4B6A29B7"/>
    <w:rsid w:val="4B6A4091"/>
    <w:rsid w:val="4B6B53F2"/>
    <w:rsid w:val="4B6C4CC7"/>
    <w:rsid w:val="4B7D0C82"/>
    <w:rsid w:val="4B872B5B"/>
    <w:rsid w:val="4B880400"/>
    <w:rsid w:val="4B9009B5"/>
    <w:rsid w:val="4B904E59"/>
    <w:rsid w:val="4B90609A"/>
    <w:rsid w:val="4B9106E2"/>
    <w:rsid w:val="4B920BD1"/>
    <w:rsid w:val="4BA322F3"/>
    <w:rsid w:val="4BAF3531"/>
    <w:rsid w:val="4BB00158"/>
    <w:rsid w:val="4BB14954"/>
    <w:rsid w:val="4BB21951"/>
    <w:rsid w:val="4BC11EFB"/>
    <w:rsid w:val="4BC25609"/>
    <w:rsid w:val="4BC5725A"/>
    <w:rsid w:val="4BD619E7"/>
    <w:rsid w:val="4BDC63EE"/>
    <w:rsid w:val="4BE25FA5"/>
    <w:rsid w:val="4BE9760A"/>
    <w:rsid w:val="4C010B10"/>
    <w:rsid w:val="4C0118B3"/>
    <w:rsid w:val="4C080E93"/>
    <w:rsid w:val="4C15535E"/>
    <w:rsid w:val="4C193B28"/>
    <w:rsid w:val="4C2537F3"/>
    <w:rsid w:val="4C2A23A9"/>
    <w:rsid w:val="4C325F10"/>
    <w:rsid w:val="4C361428"/>
    <w:rsid w:val="4C46004C"/>
    <w:rsid w:val="4C487A48"/>
    <w:rsid w:val="4C4A0649"/>
    <w:rsid w:val="4C4C5224"/>
    <w:rsid w:val="4C4D72FC"/>
    <w:rsid w:val="4C55259D"/>
    <w:rsid w:val="4C6133F1"/>
    <w:rsid w:val="4C632981"/>
    <w:rsid w:val="4C6747F8"/>
    <w:rsid w:val="4C6A45A3"/>
    <w:rsid w:val="4C6A65C7"/>
    <w:rsid w:val="4C7214F1"/>
    <w:rsid w:val="4C7341D5"/>
    <w:rsid w:val="4C771423"/>
    <w:rsid w:val="4C7D69A7"/>
    <w:rsid w:val="4C7E5ECA"/>
    <w:rsid w:val="4C8546F5"/>
    <w:rsid w:val="4C876AA5"/>
    <w:rsid w:val="4C89042D"/>
    <w:rsid w:val="4C8F3363"/>
    <w:rsid w:val="4C9B4CAB"/>
    <w:rsid w:val="4CA02E7A"/>
    <w:rsid w:val="4CA566E2"/>
    <w:rsid w:val="4CAD2184"/>
    <w:rsid w:val="4CB26086"/>
    <w:rsid w:val="4CBF59F6"/>
    <w:rsid w:val="4CC76535"/>
    <w:rsid w:val="4CD4396E"/>
    <w:rsid w:val="4CD55219"/>
    <w:rsid w:val="4CD5601F"/>
    <w:rsid w:val="4CE0771A"/>
    <w:rsid w:val="4CE216E4"/>
    <w:rsid w:val="4CE54D31"/>
    <w:rsid w:val="4CEA2837"/>
    <w:rsid w:val="4CF60CEC"/>
    <w:rsid w:val="4CFB025D"/>
    <w:rsid w:val="4D017BD8"/>
    <w:rsid w:val="4D0E00FB"/>
    <w:rsid w:val="4D0F7FFF"/>
    <w:rsid w:val="4D100447"/>
    <w:rsid w:val="4D14242C"/>
    <w:rsid w:val="4D176606"/>
    <w:rsid w:val="4D186EB4"/>
    <w:rsid w:val="4D1F46E6"/>
    <w:rsid w:val="4D21573B"/>
    <w:rsid w:val="4D2E66D8"/>
    <w:rsid w:val="4D310542"/>
    <w:rsid w:val="4D3A507C"/>
    <w:rsid w:val="4D3B0CF2"/>
    <w:rsid w:val="4D452EFB"/>
    <w:rsid w:val="4D4652EA"/>
    <w:rsid w:val="4D4C4219"/>
    <w:rsid w:val="4D545F0C"/>
    <w:rsid w:val="4D565B9B"/>
    <w:rsid w:val="4D566850"/>
    <w:rsid w:val="4D6618BB"/>
    <w:rsid w:val="4D6930F9"/>
    <w:rsid w:val="4D6D0FF7"/>
    <w:rsid w:val="4D720CBA"/>
    <w:rsid w:val="4D754655"/>
    <w:rsid w:val="4D767B30"/>
    <w:rsid w:val="4D7D3C02"/>
    <w:rsid w:val="4D8207D1"/>
    <w:rsid w:val="4D822399"/>
    <w:rsid w:val="4D836CED"/>
    <w:rsid w:val="4D8B3B2A"/>
    <w:rsid w:val="4D8D3706"/>
    <w:rsid w:val="4D950505"/>
    <w:rsid w:val="4DA04DF2"/>
    <w:rsid w:val="4DA90454"/>
    <w:rsid w:val="4DBC1840"/>
    <w:rsid w:val="4DC02231"/>
    <w:rsid w:val="4DC03E0E"/>
    <w:rsid w:val="4DC31516"/>
    <w:rsid w:val="4DC646D5"/>
    <w:rsid w:val="4DC66910"/>
    <w:rsid w:val="4DCF7B81"/>
    <w:rsid w:val="4DE4323A"/>
    <w:rsid w:val="4DEB1A8F"/>
    <w:rsid w:val="4DEB6F3C"/>
    <w:rsid w:val="4DEC4FB0"/>
    <w:rsid w:val="4DF55447"/>
    <w:rsid w:val="4DF80A94"/>
    <w:rsid w:val="4DFE062B"/>
    <w:rsid w:val="4E011EE5"/>
    <w:rsid w:val="4E075D8A"/>
    <w:rsid w:val="4E171EDB"/>
    <w:rsid w:val="4E1C3951"/>
    <w:rsid w:val="4E1F691C"/>
    <w:rsid w:val="4E235B10"/>
    <w:rsid w:val="4E2632D6"/>
    <w:rsid w:val="4E286FF7"/>
    <w:rsid w:val="4E296E9F"/>
    <w:rsid w:val="4E32515F"/>
    <w:rsid w:val="4E34266B"/>
    <w:rsid w:val="4E35449A"/>
    <w:rsid w:val="4E3B72FE"/>
    <w:rsid w:val="4E3C04AA"/>
    <w:rsid w:val="4E4837C9"/>
    <w:rsid w:val="4E4A5793"/>
    <w:rsid w:val="4E4D2065"/>
    <w:rsid w:val="4E516B22"/>
    <w:rsid w:val="4E5376F0"/>
    <w:rsid w:val="4E59596C"/>
    <w:rsid w:val="4E630603"/>
    <w:rsid w:val="4E685C19"/>
    <w:rsid w:val="4E6B74B7"/>
    <w:rsid w:val="4E6D76D3"/>
    <w:rsid w:val="4E732619"/>
    <w:rsid w:val="4E7755FD"/>
    <w:rsid w:val="4E7B3B9E"/>
    <w:rsid w:val="4E873F42"/>
    <w:rsid w:val="4E8E0E82"/>
    <w:rsid w:val="4E992BD6"/>
    <w:rsid w:val="4E9D0D8B"/>
    <w:rsid w:val="4EAE7290"/>
    <w:rsid w:val="4EB235DD"/>
    <w:rsid w:val="4EB23A47"/>
    <w:rsid w:val="4EBE4750"/>
    <w:rsid w:val="4EC00FAD"/>
    <w:rsid w:val="4EC046B5"/>
    <w:rsid w:val="4EC215AD"/>
    <w:rsid w:val="4EC332AE"/>
    <w:rsid w:val="4EC512BE"/>
    <w:rsid w:val="4EC70B92"/>
    <w:rsid w:val="4ED27537"/>
    <w:rsid w:val="4EDF03CD"/>
    <w:rsid w:val="4EE447E9"/>
    <w:rsid w:val="4EE50807"/>
    <w:rsid w:val="4EE8765C"/>
    <w:rsid w:val="4EED40E4"/>
    <w:rsid w:val="4EF552CE"/>
    <w:rsid w:val="4EFD7E1E"/>
    <w:rsid w:val="4F0022F6"/>
    <w:rsid w:val="4F041DE6"/>
    <w:rsid w:val="4F0A4F22"/>
    <w:rsid w:val="4F0E056F"/>
    <w:rsid w:val="4F10078B"/>
    <w:rsid w:val="4F1418FD"/>
    <w:rsid w:val="4F165FF8"/>
    <w:rsid w:val="4F1813ED"/>
    <w:rsid w:val="4F245FE4"/>
    <w:rsid w:val="4F2D69D8"/>
    <w:rsid w:val="4F3332BD"/>
    <w:rsid w:val="4F343340"/>
    <w:rsid w:val="4F3A75B6"/>
    <w:rsid w:val="4F3F39FB"/>
    <w:rsid w:val="4F473A81"/>
    <w:rsid w:val="4F491695"/>
    <w:rsid w:val="4F4B02CA"/>
    <w:rsid w:val="4F5135F0"/>
    <w:rsid w:val="4F5148FF"/>
    <w:rsid w:val="4F5737D2"/>
    <w:rsid w:val="4F664731"/>
    <w:rsid w:val="4F73055A"/>
    <w:rsid w:val="4F793764"/>
    <w:rsid w:val="4F9111A0"/>
    <w:rsid w:val="4F946EDC"/>
    <w:rsid w:val="4F9843DC"/>
    <w:rsid w:val="4F991ECA"/>
    <w:rsid w:val="4F997F7B"/>
    <w:rsid w:val="4F9E60B7"/>
    <w:rsid w:val="4FA44537"/>
    <w:rsid w:val="4FAE1D52"/>
    <w:rsid w:val="4FB56C3C"/>
    <w:rsid w:val="4FBA4253"/>
    <w:rsid w:val="4FBC421F"/>
    <w:rsid w:val="4FBF3003"/>
    <w:rsid w:val="4FBF3F5F"/>
    <w:rsid w:val="4FC11248"/>
    <w:rsid w:val="4FC15B68"/>
    <w:rsid w:val="4FC62A8C"/>
    <w:rsid w:val="4FCA09C7"/>
    <w:rsid w:val="4FCB0487"/>
    <w:rsid w:val="4FCB1A09"/>
    <w:rsid w:val="4FCE47C2"/>
    <w:rsid w:val="4FCE5F50"/>
    <w:rsid w:val="4FDE2637"/>
    <w:rsid w:val="4FE20F0D"/>
    <w:rsid w:val="4FE30898"/>
    <w:rsid w:val="4FE41A35"/>
    <w:rsid w:val="4FE51552"/>
    <w:rsid w:val="4FED20D0"/>
    <w:rsid w:val="4FED4628"/>
    <w:rsid w:val="4FED7AFA"/>
    <w:rsid w:val="4FF674DB"/>
    <w:rsid w:val="4FFE6835"/>
    <w:rsid w:val="50120CCF"/>
    <w:rsid w:val="50125E3D"/>
    <w:rsid w:val="5015592D"/>
    <w:rsid w:val="501705F9"/>
    <w:rsid w:val="501C4F0D"/>
    <w:rsid w:val="501E2A33"/>
    <w:rsid w:val="50245B70"/>
    <w:rsid w:val="502A34B6"/>
    <w:rsid w:val="502D711A"/>
    <w:rsid w:val="502E0190"/>
    <w:rsid w:val="50395ABF"/>
    <w:rsid w:val="503A35E5"/>
    <w:rsid w:val="503B0C0B"/>
    <w:rsid w:val="50461F8A"/>
    <w:rsid w:val="50464306"/>
    <w:rsid w:val="50465DB8"/>
    <w:rsid w:val="50483D0A"/>
    <w:rsid w:val="504F52E3"/>
    <w:rsid w:val="50504C4B"/>
    <w:rsid w:val="5055041F"/>
    <w:rsid w:val="505B39B1"/>
    <w:rsid w:val="506014AD"/>
    <w:rsid w:val="50605F2D"/>
    <w:rsid w:val="50665BE5"/>
    <w:rsid w:val="506F7733"/>
    <w:rsid w:val="507A3DCE"/>
    <w:rsid w:val="507F4402"/>
    <w:rsid w:val="508605D9"/>
    <w:rsid w:val="508A5165"/>
    <w:rsid w:val="508F56DF"/>
    <w:rsid w:val="50945618"/>
    <w:rsid w:val="509A3C9B"/>
    <w:rsid w:val="509C4507"/>
    <w:rsid w:val="509C6E7C"/>
    <w:rsid w:val="50A218B6"/>
    <w:rsid w:val="50A34C3A"/>
    <w:rsid w:val="50A80950"/>
    <w:rsid w:val="50AB064B"/>
    <w:rsid w:val="50C35400"/>
    <w:rsid w:val="50D43A3A"/>
    <w:rsid w:val="50D8662F"/>
    <w:rsid w:val="50DB26D2"/>
    <w:rsid w:val="50DC7945"/>
    <w:rsid w:val="50E12E1D"/>
    <w:rsid w:val="50E6323F"/>
    <w:rsid w:val="50F4094A"/>
    <w:rsid w:val="50F97BFC"/>
    <w:rsid w:val="50FA471B"/>
    <w:rsid w:val="510237C4"/>
    <w:rsid w:val="51033F24"/>
    <w:rsid w:val="51102CAC"/>
    <w:rsid w:val="511D2CEB"/>
    <w:rsid w:val="511E12E8"/>
    <w:rsid w:val="51217E61"/>
    <w:rsid w:val="512705EA"/>
    <w:rsid w:val="51281690"/>
    <w:rsid w:val="512E5500"/>
    <w:rsid w:val="513762AA"/>
    <w:rsid w:val="513D338D"/>
    <w:rsid w:val="51433D01"/>
    <w:rsid w:val="51500DFF"/>
    <w:rsid w:val="5160145C"/>
    <w:rsid w:val="5162104E"/>
    <w:rsid w:val="5164091A"/>
    <w:rsid w:val="516E13D9"/>
    <w:rsid w:val="51702D3B"/>
    <w:rsid w:val="51727E7E"/>
    <w:rsid w:val="51730B5D"/>
    <w:rsid w:val="51772D6B"/>
    <w:rsid w:val="51777DC9"/>
    <w:rsid w:val="517D4A38"/>
    <w:rsid w:val="51813064"/>
    <w:rsid w:val="518847DA"/>
    <w:rsid w:val="518E44E3"/>
    <w:rsid w:val="51921A53"/>
    <w:rsid w:val="519C4558"/>
    <w:rsid w:val="519D0CF6"/>
    <w:rsid w:val="51A2331D"/>
    <w:rsid w:val="51A76F6F"/>
    <w:rsid w:val="51A84E4A"/>
    <w:rsid w:val="51AB6549"/>
    <w:rsid w:val="51B87EAC"/>
    <w:rsid w:val="51BA678C"/>
    <w:rsid w:val="51BF3BF0"/>
    <w:rsid w:val="51C169FC"/>
    <w:rsid w:val="51C8534D"/>
    <w:rsid w:val="51CC68F7"/>
    <w:rsid w:val="51D0680C"/>
    <w:rsid w:val="51D26A18"/>
    <w:rsid w:val="51D8395D"/>
    <w:rsid w:val="51DC0DF8"/>
    <w:rsid w:val="51DF2696"/>
    <w:rsid w:val="51E05167"/>
    <w:rsid w:val="51E101BC"/>
    <w:rsid w:val="51F933E9"/>
    <w:rsid w:val="51FF444F"/>
    <w:rsid w:val="52063076"/>
    <w:rsid w:val="5207760C"/>
    <w:rsid w:val="520B5239"/>
    <w:rsid w:val="520B6FE7"/>
    <w:rsid w:val="521045FE"/>
    <w:rsid w:val="52125C8A"/>
    <w:rsid w:val="521C5582"/>
    <w:rsid w:val="521D4F6D"/>
    <w:rsid w:val="521E5B9D"/>
    <w:rsid w:val="521F3AAE"/>
    <w:rsid w:val="521F4FE2"/>
    <w:rsid w:val="52262073"/>
    <w:rsid w:val="52271947"/>
    <w:rsid w:val="522925C9"/>
    <w:rsid w:val="52345331"/>
    <w:rsid w:val="52354064"/>
    <w:rsid w:val="5235661E"/>
    <w:rsid w:val="523A7343"/>
    <w:rsid w:val="5245699D"/>
    <w:rsid w:val="52460BCD"/>
    <w:rsid w:val="524C1323"/>
    <w:rsid w:val="524E0379"/>
    <w:rsid w:val="525474CD"/>
    <w:rsid w:val="525564B4"/>
    <w:rsid w:val="525A1D1D"/>
    <w:rsid w:val="526037D7"/>
    <w:rsid w:val="52663FE4"/>
    <w:rsid w:val="52691264"/>
    <w:rsid w:val="526F57C8"/>
    <w:rsid w:val="52727066"/>
    <w:rsid w:val="527F1578"/>
    <w:rsid w:val="52910AB2"/>
    <w:rsid w:val="5294522F"/>
    <w:rsid w:val="529E7E5B"/>
    <w:rsid w:val="52A86F2C"/>
    <w:rsid w:val="52AE1A07"/>
    <w:rsid w:val="52B6003A"/>
    <w:rsid w:val="52B83EF5"/>
    <w:rsid w:val="52C04276"/>
    <w:rsid w:val="52C5199B"/>
    <w:rsid w:val="52C5363A"/>
    <w:rsid w:val="52C859F9"/>
    <w:rsid w:val="52C9010E"/>
    <w:rsid w:val="52CA0452"/>
    <w:rsid w:val="52CD20D5"/>
    <w:rsid w:val="52D01FDF"/>
    <w:rsid w:val="52D93C20"/>
    <w:rsid w:val="52D95337"/>
    <w:rsid w:val="52DD1E7D"/>
    <w:rsid w:val="52E513C7"/>
    <w:rsid w:val="52EA0BFC"/>
    <w:rsid w:val="52EF6909"/>
    <w:rsid w:val="52F1563C"/>
    <w:rsid w:val="5302488E"/>
    <w:rsid w:val="5303325E"/>
    <w:rsid w:val="53066A02"/>
    <w:rsid w:val="530C78EB"/>
    <w:rsid w:val="530F16E9"/>
    <w:rsid w:val="53191BD8"/>
    <w:rsid w:val="531E7033"/>
    <w:rsid w:val="53223CFB"/>
    <w:rsid w:val="53262A34"/>
    <w:rsid w:val="532760A3"/>
    <w:rsid w:val="53285977"/>
    <w:rsid w:val="532E4B0A"/>
    <w:rsid w:val="5339302E"/>
    <w:rsid w:val="533A58A2"/>
    <w:rsid w:val="533B38FC"/>
    <w:rsid w:val="533C1422"/>
    <w:rsid w:val="53412BEE"/>
    <w:rsid w:val="53430A03"/>
    <w:rsid w:val="53484A42"/>
    <w:rsid w:val="534C3D5B"/>
    <w:rsid w:val="534C78B7"/>
    <w:rsid w:val="535225FE"/>
    <w:rsid w:val="535B59F5"/>
    <w:rsid w:val="536015B5"/>
    <w:rsid w:val="53735A2A"/>
    <w:rsid w:val="53746294"/>
    <w:rsid w:val="53784B50"/>
    <w:rsid w:val="53794425"/>
    <w:rsid w:val="537950E4"/>
    <w:rsid w:val="537A5BE7"/>
    <w:rsid w:val="537A673A"/>
    <w:rsid w:val="53883563"/>
    <w:rsid w:val="539179C0"/>
    <w:rsid w:val="53924E45"/>
    <w:rsid w:val="53933738"/>
    <w:rsid w:val="53993539"/>
    <w:rsid w:val="539A4AC7"/>
    <w:rsid w:val="539B7CAB"/>
    <w:rsid w:val="53A039CC"/>
    <w:rsid w:val="53A1505A"/>
    <w:rsid w:val="53A53FDA"/>
    <w:rsid w:val="53A775B5"/>
    <w:rsid w:val="53B2505A"/>
    <w:rsid w:val="53B31B9C"/>
    <w:rsid w:val="53B92A73"/>
    <w:rsid w:val="53B97357"/>
    <w:rsid w:val="53C61771"/>
    <w:rsid w:val="53CE29C2"/>
    <w:rsid w:val="53D43A1B"/>
    <w:rsid w:val="53E03CD2"/>
    <w:rsid w:val="53EB7813"/>
    <w:rsid w:val="53EE6BC1"/>
    <w:rsid w:val="53F026DB"/>
    <w:rsid w:val="53F1220D"/>
    <w:rsid w:val="53F1280D"/>
    <w:rsid w:val="53F341D7"/>
    <w:rsid w:val="53F50818"/>
    <w:rsid w:val="53FF12DB"/>
    <w:rsid w:val="54063E08"/>
    <w:rsid w:val="54123C47"/>
    <w:rsid w:val="54140C11"/>
    <w:rsid w:val="541B098E"/>
    <w:rsid w:val="54260108"/>
    <w:rsid w:val="542768B8"/>
    <w:rsid w:val="542E3461"/>
    <w:rsid w:val="54302893"/>
    <w:rsid w:val="54305DF5"/>
    <w:rsid w:val="543437E8"/>
    <w:rsid w:val="54386D4E"/>
    <w:rsid w:val="543B5682"/>
    <w:rsid w:val="5443661C"/>
    <w:rsid w:val="54474C75"/>
    <w:rsid w:val="544D38E7"/>
    <w:rsid w:val="544E58B1"/>
    <w:rsid w:val="544F064A"/>
    <w:rsid w:val="54705828"/>
    <w:rsid w:val="547075D6"/>
    <w:rsid w:val="5472334E"/>
    <w:rsid w:val="547A22E5"/>
    <w:rsid w:val="5488491F"/>
    <w:rsid w:val="549A3C25"/>
    <w:rsid w:val="549C661D"/>
    <w:rsid w:val="54A35787"/>
    <w:rsid w:val="54A86D6F"/>
    <w:rsid w:val="54B615EA"/>
    <w:rsid w:val="54BC0A6D"/>
    <w:rsid w:val="54BC4205"/>
    <w:rsid w:val="54C861D8"/>
    <w:rsid w:val="54D47B64"/>
    <w:rsid w:val="54D501DD"/>
    <w:rsid w:val="54D55642"/>
    <w:rsid w:val="54D96674"/>
    <w:rsid w:val="54E35FFA"/>
    <w:rsid w:val="54E81FCC"/>
    <w:rsid w:val="54E92498"/>
    <w:rsid w:val="54F73313"/>
    <w:rsid w:val="54F77CF7"/>
    <w:rsid w:val="54F80955"/>
    <w:rsid w:val="55050666"/>
    <w:rsid w:val="550712D0"/>
    <w:rsid w:val="5508126D"/>
    <w:rsid w:val="55110DB9"/>
    <w:rsid w:val="552B1A30"/>
    <w:rsid w:val="552D54C7"/>
    <w:rsid w:val="552E3A5A"/>
    <w:rsid w:val="55310B28"/>
    <w:rsid w:val="55326F81"/>
    <w:rsid w:val="553C22F4"/>
    <w:rsid w:val="553C63DC"/>
    <w:rsid w:val="553E3D38"/>
    <w:rsid w:val="554337B9"/>
    <w:rsid w:val="55436B5C"/>
    <w:rsid w:val="554B5D69"/>
    <w:rsid w:val="554C6AFA"/>
    <w:rsid w:val="554E3DBB"/>
    <w:rsid w:val="554F1A72"/>
    <w:rsid w:val="5550021B"/>
    <w:rsid w:val="55510E5B"/>
    <w:rsid w:val="555170A7"/>
    <w:rsid w:val="55541ED2"/>
    <w:rsid w:val="556C1418"/>
    <w:rsid w:val="55766E6E"/>
    <w:rsid w:val="557D644E"/>
    <w:rsid w:val="557E7653"/>
    <w:rsid w:val="55825812"/>
    <w:rsid w:val="5587536D"/>
    <w:rsid w:val="558C043F"/>
    <w:rsid w:val="5592106F"/>
    <w:rsid w:val="559464D6"/>
    <w:rsid w:val="5596193D"/>
    <w:rsid w:val="559B174B"/>
    <w:rsid w:val="55AD03B6"/>
    <w:rsid w:val="55BE3033"/>
    <w:rsid w:val="55BE319C"/>
    <w:rsid w:val="55C2093F"/>
    <w:rsid w:val="55C91693"/>
    <w:rsid w:val="55CB6822"/>
    <w:rsid w:val="55CE0CF4"/>
    <w:rsid w:val="55D1435C"/>
    <w:rsid w:val="55D87B28"/>
    <w:rsid w:val="55DA1908"/>
    <w:rsid w:val="55DA6C06"/>
    <w:rsid w:val="55DA7948"/>
    <w:rsid w:val="55E44E6E"/>
    <w:rsid w:val="55EE2EA8"/>
    <w:rsid w:val="55EE2FC5"/>
    <w:rsid w:val="55F1263D"/>
    <w:rsid w:val="55F81F79"/>
    <w:rsid w:val="56073F6A"/>
    <w:rsid w:val="56093ABF"/>
    <w:rsid w:val="560B6389"/>
    <w:rsid w:val="560E5186"/>
    <w:rsid w:val="561A3C9D"/>
    <w:rsid w:val="56254EF2"/>
    <w:rsid w:val="56322663"/>
    <w:rsid w:val="56356D29"/>
    <w:rsid w:val="563A6591"/>
    <w:rsid w:val="56445563"/>
    <w:rsid w:val="56464A92"/>
    <w:rsid w:val="56466840"/>
    <w:rsid w:val="56487ADB"/>
    <w:rsid w:val="56513B94"/>
    <w:rsid w:val="56526C9E"/>
    <w:rsid w:val="565F7902"/>
    <w:rsid w:val="566570FD"/>
    <w:rsid w:val="56690780"/>
    <w:rsid w:val="56694C24"/>
    <w:rsid w:val="566A64DD"/>
    <w:rsid w:val="56764C4B"/>
    <w:rsid w:val="567A0BDF"/>
    <w:rsid w:val="567D5FDA"/>
    <w:rsid w:val="56815ACA"/>
    <w:rsid w:val="568440EB"/>
    <w:rsid w:val="56853889"/>
    <w:rsid w:val="568A0608"/>
    <w:rsid w:val="568D0913"/>
    <w:rsid w:val="568F5A54"/>
    <w:rsid w:val="5692637E"/>
    <w:rsid w:val="569972B8"/>
    <w:rsid w:val="569D17D9"/>
    <w:rsid w:val="56A25A40"/>
    <w:rsid w:val="56A8574D"/>
    <w:rsid w:val="56AB6FEB"/>
    <w:rsid w:val="56B22A9C"/>
    <w:rsid w:val="56B37C4E"/>
    <w:rsid w:val="56B55774"/>
    <w:rsid w:val="56BA5480"/>
    <w:rsid w:val="56BF5093"/>
    <w:rsid w:val="56C60E93"/>
    <w:rsid w:val="56CD6F61"/>
    <w:rsid w:val="56D461E8"/>
    <w:rsid w:val="56DB0D7E"/>
    <w:rsid w:val="56DE2208"/>
    <w:rsid w:val="56DF0A43"/>
    <w:rsid w:val="56E33587"/>
    <w:rsid w:val="56E66275"/>
    <w:rsid w:val="56E75C65"/>
    <w:rsid w:val="56ED6B34"/>
    <w:rsid w:val="56EF07AE"/>
    <w:rsid w:val="56F75D8C"/>
    <w:rsid w:val="56FD24BD"/>
    <w:rsid w:val="56FF57F4"/>
    <w:rsid w:val="570029A8"/>
    <w:rsid w:val="570230AB"/>
    <w:rsid w:val="570404A9"/>
    <w:rsid w:val="5705154F"/>
    <w:rsid w:val="570566FB"/>
    <w:rsid w:val="570A7310"/>
    <w:rsid w:val="571132F2"/>
    <w:rsid w:val="5717762D"/>
    <w:rsid w:val="57215E5A"/>
    <w:rsid w:val="572F0A2E"/>
    <w:rsid w:val="572F5A7C"/>
    <w:rsid w:val="57390153"/>
    <w:rsid w:val="573B211D"/>
    <w:rsid w:val="5744140E"/>
    <w:rsid w:val="57494D17"/>
    <w:rsid w:val="574A6804"/>
    <w:rsid w:val="57560D05"/>
    <w:rsid w:val="575A249C"/>
    <w:rsid w:val="575E405D"/>
    <w:rsid w:val="57667914"/>
    <w:rsid w:val="57671B8F"/>
    <w:rsid w:val="57676A91"/>
    <w:rsid w:val="5773035D"/>
    <w:rsid w:val="577573FF"/>
    <w:rsid w:val="57765EE6"/>
    <w:rsid w:val="57782453"/>
    <w:rsid w:val="57790E97"/>
    <w:rsid w:val="577D597C"/>
    <w:rsid w:val="57811233"/>
    <w:rsid w:val="5789732C"/>
    <w:rsid w:val="579E08FE"/>
    <w:rsid w:val="57A2219C"/>
    <w:rsid w:val="57A50E8E"/>
    <w:rsid w:val="57A5631D"/>
    <w:rsid w:val="57A64363"/>
    <w:rsid w:val="57A8536A"/>
    <w:rsid w:val="57B63E99"/>
    <w:rsid w:val="57B72A76"/>
    <w:rsid w:val="57BE3616"/>
    <w:rsid w:val="57C17B58"/>
    <w:rsid w:val="57C33EC0"/>
    <w:rsid w:val="57C3426C"/>
    <w:rsid w:val="57C8237D"/>
    <w:rsid w:val="57CB4CA6"/>
    <w:rsid w:val="57CD2331"/>
    <w:rsid w:val="57CE1F93"/>
    <w:rsid w:val="57D03CF3"/>
    <w:rsid w:val="57D4365F"/>
    <w:rsid w:val="57D8796C"/>
    <w:rsid w:val="57DB56AE"/>
    <w:rsid w:val="57E16F38"/>
    <w:rsid w:val="57EF2F07"/>
    <w:rsid w:val="57F43F5C"/>
    <w:rsid w:val="57F469C2"/>
    <w:rsid w:val="580050ED"/>
    <w:rsid w:val="580267B2"/>
    <w:rsid w:val="58044DA9"/>
    <w:rsid w:val="5806097D"/>
    <w:rsid w:val="580C1F78"/>
    <w:rsid w:val="581D5CC6"/>
    <w:rsid w:val="58240E03"/>
    <w:rsid w:val="582E05D0"/>
    <w:rsid w:val="58306F9C"/>
    <w:rsid w:val="58346B6C"/>
    <w:rsid w:val="583D0117"/>
    <w:rsid w:val="58405345"/>
    <w:rsid w:val="58443F97"/>
    <w:rsid w:val="584B12CD"/>
    <w:rsid w:val="584B38AA"/>
    <w:rsid w:val="584B729C"/>
    <w:rsid w:val="584D7B51"/>
    <w:rsid w:val="585266C8"/>
    <w:rsid w:val="58560A98"/>
    <w:rsid w:val="585E09E1"/>
    <w:rsid w:val="5867073D"/>
    <w:rsid w:val="5875340D"/>
    <w:rsid w:val="587A72FA"/>
    <w:rsid w:val="58837D62"/>
    <w:rsid w:val="58856DEC"/>
    <w:rsid w:val="588743D1"/>
    <w:rsid w:val="5887701A"/>
    <w:rsid w:val="588B70D4"/>
    <w:rsid w:val="589D05F6"/>
    <w:rsid w:val="589E6E07"/>
    <w:rsid w:val="58A67DD1"/>
    <w:rsid w:val="58AF24D3"/>
    <w:rsid w:val="58B304B3"/>
    <w:rsid w:val="58BA52C3"/>
    <w:rsid w:val="58C425E6"/>
    <w:rsid w:val="58C44026"/>
    <w:rsid w:val="58C8174F"/>
    <w:rsid w:val="58D00F8B"/>
    <w:rsid w:val="58DB1914"/>
    <w:rsid w:val="58DF6B23"/>
    <w:rsid w:val="58E34BE8"/>
    <w:rsid w:val="58E36665"/>
    <w:rsid w:val="58E97957"/>
    <w:rsid w:val="58EA351B"/>
    <w:rsid w:val="58F00CE5"/>
    <w:rsid w:val="58F90288"/>
    <w:rsid w:val="59030A18"/>
    <w:rsid w:val="59031A9B"/>
    <w:rsid w:val="590649AC"/>
    <w:rsid w:val="59074F62"/>
    <w:rsid w:val="59076F13"/>
    <w:rsid w:val="590C57F0"/>
    <w:rsid w:val="59213594"/>
    <w:rsid w:val="59232E69"/>
    <w:rsid w:val="5924570D"/>
    <w:rsid w:val="59263FA2"/>
    <w:rsid w:val="593224B4"/>
    <w:rsid w:val="5933076C"/>
    <w:rsid w:val="593A4C85"/>
    <w:rsid w:val="59417793"/>
    <w:rsid w:val="594660EF"/>
    <w:rsid w:val="594D4389"/>
    <w:rsid w:val="594F45BB"/>
    <w:rsid w:val="595219A0"/>
    <w:rsid w:val="5955323E"/>
    <w:rsid w:val="595C281E"/>
    <w:rsid w:val="595F202F"/>
    <w:rsid w:val="59613991"/>
    <w:rsid w:val="59631CDF"/>
    <w:rsid w:val="5967612A"/>
    <w:rsid w:val="5971501D"/>
    <w:rsid w:val="59743584"/>
    <w:rsid w:val="5979517E"/>
    <w:rsid w:val="597D18F3"/>
    <w:rsid w:val="597F763F"/>
    <w:rsid w:val="5980650D"/>
    <w:rsid w:val="59837668"/>
    <w:rsid w:val="598D0C2A"/>
    <w:rsid w:val="599124C8"/>
    <w:rsid w:val="59994937"/>
    <w:rsid w:val="59A65848"/>
    <w:rsid w:val="59AF73D4"/>
    <w:rsid w:val="59AF7DCA"/>
    <w:rsid w:val="59B60431"/>
    <w:rsid w:val="59B937CD"/>
    <w:rsid w:val="59B9557B"/>
    <w:rsid w:val="59C0439F"/>
    <w:rsid w:val="59C433AF"/>
    <w:rsid w:val="59C94BFB"/>
    <w:rsid w:val="59D70778"/>
    <w:rsid w:val="59E3084A"/>
    <w:rsid w:val="59EC7300"/>
    <w:rsid w:val="59EE791A"/>
    <w:rsid w:val="59F44805"/>
    <w:rsid w:val="59FE1E2B"/>
    <w:rsid w:val="5A0060D5"/>
    <w:rsid w:val="5A0174D9"/>
    <w:rsid w:val="5A077F66"/>
    <w:rsid w:val="5A0B7850"/>
    <w:rsid w:val="5A272E2C"/>
    <w:rsid w:val="5A2C2925"/>
    <w:rsid w:val="5A2D5061"/>
    <w:rsid w:val="5A2F3A8F"/>
    <w:rsid w:val="5A3545B6"/>
    <w:rsid w:val="5A3C2AF9"/>
    <w:rsid w:val="5A4C7799"/>
    <w:rsid w:val="5A4E0C85"/>
    <w:rsid w:val="5A516E99"/>
    <w:rsid w:val="5A560BB8"/>
    <w:rsid w:val="5A6231C8"/>
    <w:rsid w:val="5A6A0B89"/>
    <w:rsid w:val="5A744977"/>
    <w:rsid w:val="5A7B26A2"/>
    <w:rsid w:val="5A812961"/>
    <w:rsid w:val="5A812E5F"/>
    <w:rsid w:val="5A83237B"/>
    <w:rsid w:val="5A843DDB"/>
    <w:rsid w:val="5A896BFA"/>
    <w:rsid w:val="5A897643"/>
    <w:rsid w:val="5A8D0A21"/>
    <w:rsid w:val="5A932270"/>
    <w:rsid w:val="5A93401E"/>
    <w:rsid w:val="5A9764F6"/>
    <w:rsid w:val="5A985AD8"/>
    <w:rsid w:val="5A9D5093"/>
    <w:rsid w:val="5A9D6801"/>
    <w:rsid w:val="5A9D746C"/>
    <w:rsid w:val="5A9F29C3"/>
    <w:rsid w:val="5AAD29A5"/>
    <w:rsid w:val="5AB63346"/>
    <w:rsid w:val="5AB8344F"/>
    <w:rsid w:val="5AB94EFC"/>
    <w:rsid w:val="5ABC02A8"/>
    <w:rsid w:val="5ABD2F3F"/>
    <w:rsid w:val="5ABE2233"/>
    <w:rsid w:val="5AC10B8B"/>
    <w:rsid w:val="5AC63DB7"/>
    <w:rsid w:val="5ADA0EED"/>
    <w:rsid w:val="5ADB0670"/>
    <w:rsid w:val="5ADD3F89"/>
    <w:rsid w:val="5AE56482"/>
    <w:rsid w:val="5AEB3E5A"/>
    <w:rsid w:val="5AFA4A61"/>
    <w:rsid w:val="5AFE1DDF"/>
    <w:rsid w:val="5B060837"/>
    <w:rsid w:val="5B24111A"/>
    <w:rsid w:val="5B266C40"/>
    <w:rsid w:val="5B2A2BD4"/>
    <w:rsid w:val="5B2A3980"/>
    <w:rsid w:val="5B2C405D"/>
    <w:rsid w:val="5B2D7FCE"/>
    <w:rsid w:val="5B2F1F99"/>
    <w:rsid w:val="5B2F3988"/>
    <w:rsid w:val="5B305D11"/>
    <w:rsid w:val="5B3255E5"/>
    <w:rsid w:val="5B34049B"/>
    <w:rsid w:val="5B3A5192"/>
    <w:rsid w:val="5B3F7A16"/>
    <w:rsid w:val="5B453108"/>
    <w:rsid w:val="5B453520"/>
    <w:rsid w:val="5B5419FF"/>
    <w:rsid w:val="5B563367"/>
    <w:rsid w:val="5B584622"/>
    <w:rsid w:val="5B5D7C55"/>
    <w:rsid w:val="5B5E25D7"/>
    <w:rsid w:val="5B745030"/>
    <w:rsid w:val="5B7536CB"/>
    <w:rsid w:val="5B86397B"/>
    <w:rsid w:val="5B8A71CF"/>
    <w:rsid w:val="5B8D4433"/>
    <w:rsid w:val="5B947483"/>
    <w:rsid w:val="5B9718EC"/>
    <w:rsid w:val="5B9D15DD"/>
    <w:rsid w:val="5B9E0ECC"/>
    <w:rsid w:val="5BAE6202"/>
    <w:rsid w:val="5BB4433F"/>
    <w:rsid w:val="5BB62912"/>
    <w:rsid w:val="5BBD1598"/>
    <w:rsid w:val="5BBE156E"/>
    <w:rsid w:val="5BC01DC3"/>
    <w:rsid w:val="5BC87CF7"/>
    <w:rsid w:val="5BCA1CC1"/>
    <w:rsid w:val="5BDB7A2A"/>
    <w:rsid w:val="5BDD3B3F"/>
    <w:rsid w:val="5BDF5D95"/>
    <w:rsid w:val="5BE14732"/>
    <w:rsid w:val="5BEA5EBF"/>
    <w:rsid w:val="5BF64B20"/>
    <w:rsid w:val="5BF84A80"/>
    <w:rsid w:val="5BF90C1B"/>
    <w:rsid w:val="5BFE7528"/>
    <w:rsid w:val="5C01312E"/>
    <w:rsid w:val="5C04037E"/>
    <w:rsid w:val="5C0827EA"/>
    <w:rsid w:val="5C0A59A3"/>
    <w:rsid w:val="5C0F3B78"/>
    <w:rsid w:val="5C111779"/>
    <w:rsid w:val="5C180C7F"/>
    <w:rsid w:val="5C194CF3"/>
    <w:rsid w:val="5C1A371D"/>
    <w:rsid w:val="5C266AD5"/>
    <w:rsid w:val="5C2E556F"/>
    <w:rsid w:val="5C4001D5"/>
    <w:rsid w:val="5C4536A1"/>
    <w:rsid w:val="5C457BD6"/>
    <w:rsid w:val="5C4B31B3"/>
    <w:rsid w:val="5C5123E2"/>
    <w:rsid w:val="5C531CB7"/>
    <w:rsid w:val="5C560335"/>
    <w:rsid w:val="5C5617A7"/>
    <w:rsid w:val="5C5D2B35"/>
    <w:rsid w:val="5C6C2CEB"/>
    <w:rsid w:val="5C6F7EA2"/>
    <w:rsid w:val="5C7867E7"/>
    <w:rsid w:val="5C7A7B91"/>
    <w:rsid w:val="5C7B745F"/>
    <w:rsid w:val="5C7C264C"/>
    <w:rsid w:val="5C82259C"/>
    <w:rsid w:val="5C833C72"/>
    <w:rsid w:val="5C88517D"/>
    <w:rsid w:val="5C893F80"/>
    <w:rsid w:val="5C8956D8"/>
    <w:rsid w:val="5C8A31FF"/>
    <w:rsid w:val="5C930305"/>
    <w:rsid w:val="5CA024D2"/>
    <w:rsid w:val="5CA72002"/>
    <w:rsid w:val="5CC012A7"/>
    <w:rsid w:val="5CC27DB9"/>
    <w:rsid w:val="5CCA3712"/>
    <w:rsid w:val="5CCB5C2D"/>
    <w:rsid w:val="5CCF0131"/>
    <w:rsid w:val="5CD0571F"/>
    <w:rsid w:val="5CD25DAD"/>
    <w:rsid w:val="5CD678A8"/>
    <w:rsid w:val="5CE16668"/>
    <w:rsid w:val="5CF8460C"/>
    <w:rsid w:val="5CF92A64"/>
    <w:rsid w:val="5D0605AF"/>
    <w:rsid w:val="5D131312"/>
    <w:rsid w:val="5D1450C3"/>
    <w:rsid w:val="5D1F1A62"/>
    <w:rsid w:val="5D2918BA"/>
    <w:rsid w:val="5D411236"/>
    <w:rsid w:val="5D494E68"/>
    <w:rsid w:val="5D4E6AE6"/>
    <w:rsid w:val="5D5850AB"/>
    <w:rsid w:val="5D5D10F6"/>
    <w:rsid w:val="5D652A5A"/>
    <w:rsid w:val="5D72463F"/>
    <w:rsid w:val="5D754D46"/>
    <w:rsid w:val="5D782E6E"/>
    <w:rsid w:val="5D7C6FEB"/>
    <w:rsid w:val="5D7D5720"/>
    <w:rsid w:val="5D7F0889"/>
    <w:rsid w:val="5D801085"/>
    <w:rsid w:val="5D8338CC"/>
    <w:rsid w:val="5D852713"/>
    <w:rsid w:val="5D870A84"/>
    <w:rsid w:val="5D902A97"/>
    <w:rsid w:val="5D9D0E9A"/>
    <w:rsid w:val="5D9D6063"/>
    <w:rsid w:val="5D9E2CC0"/>
    <w:rsid w:val="5D9E51B4"/>
    <w:rsid w:val="5DA67D6F"/>
    <w:rsid w:val="5DAD53F7"/>
    <w:rsid w:val="5DB44DE4"/>
    <w:rsid w:val="5DB451D9"/>
    <w:rsid w:val="5DB75014"/>
    <w:rsid w:val="5DBE69CD"/>
    <w:rsid w:val="5DC63FE5"/>
    <w:rsid w:val="5DC76122"/>
    <w:rsid w:val="5DC82E35"/>
    <w:rsid w:val="5DD254D7"/>
    <w:rsid w:val="5DD64E69"/>
    <w:rsid w:val="5DD961EC"/>
    <w:rsid w:val="5DE123FA"/>
    <w:rsid w:val="5DE84D27"/>
    <w:rsid w:val="5DE86AC0"/>
    <w:rsid w:val="5DF9055B"/>
    <w:rsid w:val="5DFB74AF"/>
    <w:rsid w:val="5DFC012C"/>
    <w:rsid w:val="5E0771FD"/>
    <w:rsid w:val="5E111569"/>
    <w:rsid w:val="5E135BA1"/>
    <w:rsid w:val="5E170487"/>
    <w:rsid w:val="5E20289C"/>
    <w:rsid w:val="5E23446E"/>
    <w:rsid w:val="5E2467F1"/>
    <w:rsid w:val="5E2C3BAA"/>
    <w:rsid w:val="5E3803E9"/>
    <w:rsid w:val="5E3A2E42"/>
    <w:rsid w:val="5E3B0C54"/>
    <w:rsid w:val="5E450E60"/>
    <w:rsid w:val="5E47584B"/>
    <w:rsid w:val="5E482118"/>
    <w:rsid w:val="5E4A0E97"/>
    <w:rsid w:val="5E4A22C1"/>
    <w:rsid w:val="5E536678"/>
    <w:rsid w:val="5E604ACB"/>
    <w:rsid w:val="5E6363CC"/>
    <w:rsid w:val="5E637693"/>
    <w:rsid w:val="5E6524E6"/>
    <w:rsid w:val="5E68756F"/>
    <w:rsid w:val="5E6A410E"/>
    <w:rsid w:val="5E6C52B2"/>
    <w:rsid w:val="5E761C8C"/>
    <w:rsid w:val="5E7C0A07"/>
    <w:rsid w:val="5E7D1B47"/>
    <w:rsid w:val="5E7D40B8"/>
    <w:rsid w:val="5E7E6D93"/>
    <w:rsid w:val="5E84084D"/>
    <w:rsid w:val="5E88502F"/>
    <w:rsid w:val="5E9016D2"/>
    <w:rsid w:val="5E904503"/>
    <w:rsid w:val="5E943F86"/>
    <w:rsid w:val="5E9640DD"/>
    <w:rsid w:val="5EA35FD1"/>
    <w:rsid w:val="5EA3779C"/>
    <w:rsid w:val="5EAE7678"/>
    <w:rsid w:val="5EB0569F"/>
    <w:rsid w:val="5EB629D1"/>
    <w:rsid w:val="5EB6477F"/>
    <w:rsid w:val="5EB654CE"/>
    <w:rsid w:val="5EBC010A"/>
    <w:rsid w:val="5EBD3A80"/>
    <w:rsid w:val="5EC142F8"/>
    <w:rsid w:val="5EC90A67"/>
    <w:rsid w:val="5EC953EE"/>
    <w:rsid w:val="5ED13367"/>
    <w:rsid w:val="5ED81D59"/>
    <w:rsid w:val="5EDC2437"/>
    <w:rsid w:val="5EDE7A9B"/>
    <w:rsid w:val="5EE237C6"/>
    <w:rsid w:val="5EE8466A"/>
    <w:rsid w:val="5EEC01A1"/>
    <w:rsid w:val="5EEE0A5D"/>
    <w:rsid w:val="5EEE53B9"/>
    <w:rsid w:val="5EFA0B0F"/>
    <w:rsid w:val="5EFA466C"/>
    <w:rsid w:val="5EFB7D72"/>
    <w:rsid w:val="5F034067"/>
    <w:rsid w:val="5F070493"/>
    <w:rsid w:val="5F0B2CFC"/>
    <w:rsid w:val="5F105A9B"/>
    <w:rsid w:val="5F166FCB"/>
    <w:rsid w:val="5F181169"/>
    <w:rsid w:val="5F1A2B43"/>
    <w:rsid w:val="5F1C6CD8"/>
    <w:rsid w:val="5F1D47FE"/>
    <w:rsid w:val="5F1D6B67"/>
    <w:rsid w:val="5F21609C"/>
    <w:rsid w:val="5F2736F2"/>
    <w:rsid w:val="5F2A789B"/>
    <w:rsid w:val="5F2C67EF"/>
    <w:rsid w:val="5F3916FD"/>
    <w:rsid w:val="5F4104EC"/>
    <w:rsid w:val="5F463D55"/>
    <w:rsid w:val="5F48187B"/>
    <w:rsid w:val="5F4D50E3"/>
    <w:rsid w:val="5F4E5459"/>
    <w:rsid w:val="5F553863"/>
    <w:rsid w:val="5F5F2F04"/>
    <w:rsid w:val="5F64242D"/>
    <w:rsid w:val="5F7206A6"/>
    <w:rsid w:val="5F7223A0"/>
    <w:rsid w:val="5F7505BB"/>
    <w:rsid w:val="5F764D75"/>
    <w:rsid w:val="5F7C1584"/>
    <w:rsid w:val="5F85487D"/>
    <w:rsid w:val="5F860BB5"/>
    <w:rsid w:val="5F894935"/>
    <w:rsid w:val="5F992657"/>
    <w:rsid w:val="5F9C491E"/>
    <w:rsid w:val="5FA024CF"/>
    <w:rsid w:val="5FA337C2"/>
    <w:rsid w:val="5FA4555C"/>
    <w:rsid w:val="5FA56CCD"/>
    <w:rsid w:val="5FA76142"/>
    <w:rsid w:val="5FA95DB1"/>
    <w:rsid w:val="5FB837BB"/>
    <w:rsid w:val="5FD60235"/>
    <w:rsid w:val="5FDD5952"/>
    <w:rsid w:val="5FE01AB3"/>
    <w:rsid w:val="5FEF1CF6"/>
    <w:rsid w:val="5FEF436E"/>
    <w:rsid w:val="5FF11F12"/>
    <w:rsid w:val="5FF4555F"/>
    <w:rsid w:val="5FF76DFD"/>
    <w:rsid w:val="5FFB2BD9"/>
    <w:rsid w:val="5FFC5C78"/>
    <w:rsid w:val="5FFD3877"/>
    <w:rsid w:val="5FFE5D01"/>
    <w:rsid w:val="60043CF7"/>
    <w:rsid w:val="60054E22"/>
    <w:rsid w:val="60055AD4"/>
    <w:rsid w:val="60065292"/>
    <w:rsid w:val="6020045A"/>
    <w:rsid w:val="60210ECB"/>
    <w:rsid w:val="602303BB"/>
    <w:rsid w:val="602F794D"/>
    <w:rsid w:val="60453AA2"/>
    <w:rsid w:val="60545FFD"/>
    <w:rsid w:val="60547220"/>
    <w:rsid w:val="605772DD"/>
    <w:rsid w:val="6058524D"/>
    <w:rsid w:val="60602BF4"/>
    <w:rsid w:val="6061644E"/>
    <w:rsid w:val="60675D31"/>
    <w:rsid w:val="606A0392"/>
    <w:rsid w:val="606F1089"/>
    <w:rsid w:val="606F3983"/>
    <w:rsid w:val="60884D0C"/>
    <w:rsid w:val="608B5A73"/>
    <w:rsid w:val="608E7761"/>
    <w:rsid w:val="6098413C"/>
    <w:rsid w:val="6099794A"/>
    <w:rsid w:val="609D4115"/>
    <w:rsid w:val="60A05282"/>
    <w:rsid w:val="60A46A20"/>
    <w:rsid w:val="60AA45AE"/>
    <w:rsid w:val="60B31C84"/>
    <w:rsid w:val="60B31E29"/>
    <w:rsid w:val="60BF3C01"/>
    <w:rsid w:val="60C56EFB"/>
    <w:rsid w:val="60C969EB"/>
    <w:rsid w:val="60CC405A"/>
    <w:rsid w:val="60D07D7A"/>
    <w:rsid w:val="60D7305F"/>
    <w:rsid w:val="60DA0BF8"/>
    <w:rsid w:val="60E23609"/>
    <w:rsid w:val="60EA2C03"/>
    <w:rsid w:val="60EC092C"/>
    <w:rsid w:val="60F4333C"/>
    <w:rsid w:val="60FE3BC8"/>
    <w:rsid w:val="60FF240D"/>
    <w:rsid w:val="61052A35"/>
    <w:rsid w:val="610C68D8"/>
    <w:rsid w:val="610E3466"/>
    <w:rsid w:val="610F06AF"/>
    <w:rsid w:val="61120292"/>
    <w:rsid w:val="61131A15"/>
    <w:rsid w:val="61132EBE"/>
    <w:rsid w:val="611C241C"/>
    <w:rsid w:val="611C2FBF"/>
    <w:rsid w:val="611E08DE"/>
    <w:rsid w:val="61243C22"/>
    <w:rsid w:val="61265BEC"/>
    <w:rsid w:val="6126675C"/>
    <w:rsid w:val="61272635"/>
    <w:rsid w:val="612754C0"/>
    <w:rsid w:val="612B34C5"/>
    <w:rsid w:val="612E5E62"/>
    <w:rsid w:val="61356713"/>
    <w:rsid w:val="613D39AC"/>
    <w:rsid w:val="61424274"/>
    <w:rsid w:val="6147680F"/>
    <w:rsid w:val="614C3A7F"/>
    <w:rsid w:val="615D25F4"/>
    <w:rsid w:val="6161660F"/>
    <w:rsid w:val="6167287C"/>
    <w:rsid w:val="616B1D2C"/>
    <w:rsid w:val="61776447"/>
    <w:rsid w:val="617D5A62"/>
    <w:rsid w:val="61861113"/>
    <w:rsid w:val="618E3791"/>
    <w:rsid w:val="61961A15"/>
    <w:rsid w:val="619D0E1A"/>
    <w:rsid w:val="619D4AB5"/>
    <w:rsid w:val="619F14FA"/>
    <w:rsid w:val="61A46B11"/>
    <w:rsid w:val="61A570C7"/>
    <w:rsid w:val="61A94127"/>
    <w:rsid w:val="61AC4D2C"/>
    <w:rsid w:val="61B41449"/>
    <w:rsid w:val="61B431F8"/>
    <w:rsid w:val="61BE3DAB"/>
    <w:rsid w:val="61CE3B8D"/>
    <w:rsid w:val="61D34BEA"/>
    <w:rsid w:val="61D37144"/>
    <w:rsid w:val="61D95D01"/>
    <w:rsid w:val="61DE2022"/>
    <w:rsid w:val="61DF5D9B"/>
    <w:rsid w:val="61E03629"/>
    <w:rsid w:val="61E11B13"/>
    <w:rsid w:val="61E138C1"/>
    <w:rsid w:val="61E215D8"/>
    <w:rsid w:val="61E26447"/>
    <w:rsid w:val="61E56784"/>
    <w:rsid w:val="61EC3555"/>
    <w:rsid w:val="61EC69C2"/>
    <w:rsid w:val="61EE505A"/>
    <w:rsid w:val="61FF1A22"/>
    <w:rsid w:val="620169E0"/>
    <w:rsid w:val="620759B8"/>
    <w:rsid w:val="62194D63"/>
    <w:rsid w:val="621B3277"/>
    <w:rsid w:val="621B3775"/>
    <w:rsid w:val="6220523E"/>
    <w:rsid w:val="622828CD"/>
    <w:rsid w:val="622A013F"/>
    <w:rsid w:val="62334E1E"/>
    <w:rsid w:val="62364782"/>
    <w:rsid w:val="623F1D56"/>
    <w:rsid w:val="62402CDD"/>
    <w:rsid w:val="624E4837"/>
    <w:rsid w:val="624E7184"/>
    <w:rsid w:val="62561380"/>
    <w:rsid w:val="625D637E"/>
    <w:rsid w:val="62600C89"/>
    <w:rsid w:val="626101CD"/>
    <w:rsid w:val="626C0B96"/>
    <w:rsid w:val="626E1FCA"/>
    <w:rsid w:val="627209BD"/>
    <w:rsid w:val="627416E9"/>
    <w:rsid w:val="62791D4B"/>
    <w:rsid w:val="627C27A5"/>
    <w:rsid w:val="629517C4"/>
    <w:rsid w:val="629672DC"/>
    <w:rsid w:val="62982C1D"/>
    <w:rsid w:val="62A34A91"/>
    <w:rsid w:val="62A84C37"/>
    <w:rsid w:val="62AA1F3B"/>
    <w:rsid w:val="62B31701"/>
    <w:rsid w:val="62B334AF"/>
    <w:rsid w:val="62B9483E"/>
    <w:rsid w:val="62C64D92"/>
    <w:rsid w:val="62CF1E79"/>
    <w:rsid w:val="62D357C0"/>
    <w:rsid w:val="62D65140"/>
    <w:rsid w:val="62D66AA3"/>
    <w:rsid w:val="62D66CE5"/>
    <w:rsid w:val="62D81168"/>
    <w:rsid w:val="62D96166"/>
    <w:rsid w:val="62E200B9"/>
    <w:rsid w:val="62E327AC"/>
    <w:rsid w:val="62E43E5C"/>
    <w:rsid w:val="62F842C7"/>
    <w:rsid w:val="62F90CF6"/>
    <w:rsid w:val="62FB0B13"/>
    <w:rsid w:val="63035AB9"/>
    <w:rsid w:val="631A6944"/>
    <w:rsid w:val="632A2C5C"/>
    <w:rsid w:val="632C3261"/>
    <w:rsid w:val="63381C06"/>
    <w:rsid w:val="633D698E"/>
    <w:rsid w:val="63417628"/>
    <w:rsid w:val="63424833"/>
    <w:rsid w:val="63464323"/>
    <w:rsid w:val="634743D5"/>
    <w:rsid w:val="635051A2"/>
    <w:rsid w:val="6354376D"/>
    <w:rsid w:val="6356208C"/>
    <w:rsid w:val="63573AAF"/>
    <w:rsid w:val="6371126B"/>
    <w:rsid w:val="637A0EF7"/>
    <w:rsid w:val="637D2C5D"/>
    <w:rsid w:val="638E5CCA"/>
    <w:rsid w:val="639328B4"/>
    <w:rsid w:val="6394356A"/>
    <w:rsid w:val="63962C38"/>
    <w:rsid w:val="639F5F5F"/>
    <w:rsid w:val="63A05D09"/>
    <w:rsid w:val="63A63014"/>
    <w:rsid w:val="63B23C8F"/>
    <w:rsid w:val="63B75780"/>
    <w:rsid w:val="63BC7260"/>
    <w:rsid w:val="63BF5E84"/>
    <w:rsid w:val="63C07869"/>
    <w:rsid w:val="63C416EC"/>
    <w:rsid w:val="63C61B2C"/>
    <w:rsid w:val="63C7441A"/>
    <w:rsid w:val="63C86B38"/>
    <w:rsid w:val="63CE55F4"/>
    <w:rsid w:val="63CF7E06"/>
    <w:rsid w:val="63D21326"/>
    <w:rsid w:val="63D40BE9"/>
    <w:rsid w:val="63D6406A"/>
    <w:rsid w:val="63D76006"/>
    <w:rsid w:val="63D9022E"/>
    <w:rsid w:val="63DB53D1"/>
    <w:rsid w:val="63DE087A"/>
    <w:rsid w:val="63E43B3C"/>
    <w:rsid w:val="63F62E6C"/>
    <w:rsid w:val="63FC2914"/>
    <w:rsid w:val="64065861"/>
    <w:rsid w:val="640C2DE5"/>
    <w:rsid w:val="64102431"/>
    <w:rsid w:val="641178DC"/>
    <w:rsid w:val="6412549B"/>
    <w:rsid w:val="641320EC"/>
    <w:rsid w:val="64197DC3"/>
    <w:rsid w:val="641C158C"/>
    <w:rsid w:val="6422238E"/>
    <w:rsid w:val="64222EFF"/>
    <w:rsid w:val="64235D36"/>
    <w:rsid w:val="64267CB1"/>
    <w:rsid w:val="643159DF"/>
    <w:rsid w:val="64371F2C"/>
    <w:rsid w:val="643B19AE"/>
    <w:rsid w:val="643E0025"/>
    <w:rsid w:val="64406FC4"/>
    <w:rsid w:val="64410F8F"/>
    <w:rsid w:val="644643AE"/>
    <w:rsid w:val="644B7717"/>
    <w:rsid w:val="644C57DA"/>
    <w:rsid w:val="64522C2B"/>
    <w:rsid w:val="64544553"/>
    <w:rsid w:val="64596627"/>
    <w:rsid w:val="645D4341"/>
    <w:rsid w:val="64601415"/>
    <w:rsid w:val="64601E63"/>
    <w:rsid w:val="646A73D5"/>
    <w:rsid w:val="646D768E"/>
    <w:rsid w:val="6472739A"/>
    <w:rsid w:val="647B624F"/>
    <w:rsid w:val="647E5D3F"/>
    <w:rsid w:val="648D03CE"/>
    <w:rsid w:val="648F1CFA"/>
    <w:rsid w:val="649F1844"/>
    <w:rsid w:val="64A32268"/>
    <w:rsid w:val="64A5243A"/>
    <w:rsid w:val="64A62FEE"/>
    <w:rsid w:val="64AA3E41"/>
    <w:rsid w:val="64AD03D2"/>
    <w:rsid w:val="64AE395B"/>
    <w:rsid w:val="64B017A3"/>
    <w:rsid w:val="64B11E05"/>
    <w:rsid w:val="64B3328C"/>
    <w:rsid w:val="64BD6867"/>
    <w:rsid w:val="64BE51BC"/>
    <w:rsid w:val="64C27BD7"/>
    <w:rsid w:val="64D43889"/>
    <w:rsid w:val="64EA6F30"/>
    <w:rsid w:val="64ED516A"/>
    <w:rsid w:val="64F531DE"/>
    <w:rsid w:val="65075D34"/>
    <w:rsid w:val="65087356"/>
    <w:rsid w:val="651144BD"/>
    <w:rsid w:val="651421FF"/>
    <w:rsid w:val="65143D6A"/>
    <w:rsid w:val="6516381B"/>
    <w:rsid w:val="65164359"/>
    <w:rsid w:val="651859E7"/>
    <w:rsid w:val="65235706"/>
    <w:rsid w:val="652573CA"/>
    <w:rsid w:val="65273CE0"/>
    <w:rsid w:val="65312DB1"/>
    <w:rsid w:val="6531690D"/>
    <w:rsid w:val="65350492"/>
    <w:rsid w:val="65373578"/>
    <w:rsid w:val="653C4DD6"/>
    <w:rsid w:val="65433E77"/>
    <w:rsid w:val="65445982"/>
    <w:rsid w:val="65451211"/>
    <w:rsid w:val="654D2A75"/>
    <w:rsid w:val="654F7F9F"/>
    <w:rsid w:val="65543576"/>
    <w:rsid w:val="656178BD"/>
    <w:rsid w:val="65646CE3"/>
    <w:rsid w:val="65652A5B"/>
    <w:rsid w:val="656767D3"/>
    <w:rsid w:val="6569254B"/>
    <w:rsid w:val="656B62C3"/>
    <w:rsid w:val="656E5DB3"/>
    <w:rsid w:val="65700186"/>
    <w:rsid w:val="65736F26"/>
    <w:rsid w:val="65741950"/>
    <w:rsid w:val="657D0AFA"/>
    <w:rsid w:val="657E5925"/>
    <w:rsid w:val="65864EAB"/>
    <w:rsid w:val="658A426F"/>
    <w:rsid w:val="658E1FB1"/>
    <w:rsid w:val="659361B2"/>
    <w:rsid w:val="65A73073"/>
    <w:rsid w:val="65A778CA"/>
    <w:rsid w:val="65B01F28"/>
    <w:rsid w:val="65B838BF"/>
    <w:rsid w:val="65B85EFF"/>
    <w:rsid w:val="65BF43B6"/>
    <w:rsid w:val="65C56253"/>
    <w:rsid w:val="65C6799D"/>
    <w:rsid w:val="65CB445E"/>
    <w:rsid w:val="65D8147F"/>
    <w:rsid w:val="65E05F73"/>
    <w:rsid w:val="65E34E8E"/>
    <w:rsid w:val="65E61482"/>
    <w:rsid w:val="65E971E8"/>
    <w:rsid w:val="65EC48E8"/>
    <w:rsid w:val="65F465D4"/>
    <w:rsid w:val="65F66E61"/>
    <w:rsid w:val="65F758B1"/>
    <w:rsid w:val="65F818F3"/>
    <w:rsid w:val="65FA33EE"/>
    <w:rsid w:val="660404C6"/>
    <w:rsid w:val="66044BD2"/>
    <w:rsid w:val="660917F7"/>
    <w:rsid w:val="661279DA"/>
    <w:rsid w:val="662360EF"/>
    <w:rsid w:val="66280D21"/>
    <w:rsid w:val="66295D69"/>
    <w:rsid w:val="662B4301"/>
    <w:rsid w:val="66323685"/>
    <w:rsid w:val="664B1C51"/>
    <w:rsid w:val="664B39FF"/>
    <w:rsid w:val="664D3C1B"/>
    <w:rsid w:val="665A0454"/>
    <w:rsid w:val="665A15B9"/>
    <w:rsid w:val="665B6338"/>
    <w:rsid w:val="666176C6"/>
    <w:rsid w:val="666351EC"/>
    <w:rsid w:val="66641A30"/>
    <w:rsid w:val="666F6744"/>
    <w:rsid w:val="66737704"/>
    <w:rsid w:val="66783F07"/>
    <w:rsid w:val="668243A0"/>
    <w:rsid w:val="668B5B0A"/>
    <w:rsid w:val="668D7C7F"/>
    <w:rsid w:val="669435F8"/>
    <w:rsid w:val="669502BF"/>
    <w:rsid w:val="66960AC3"/>
    <w:rsid w:val="66A4436F"/>
    <w:rsid w:val="66A55CE7"/>
    <w:rsid w:val="66A6050E"/>
    <w:rsid w:val="66A6332B"/>
    <w:rsid w:val="66B16A58"/>
    <w:rsid w:val="66B669D5"/>
    <w:rsid w:val="66BB151B"/>
    <w:rsid w:val="66C338F3"/>
    <w:rsid w:val="66C814F3"/>
    <w:rsid w:val="66CB225E"/>
    <w:rsid w:val="66D33B7F"/>
    <w:rsid w:val="66D408A1"/>
    <w:rsid w:val="66D41075"/>
    <w:rsid w:val="66D41C46"/>
    <w:rsid w:val="66D460EA"/>
    <w:rsid w:val="66D81756"/>
    <w:rsid w:val="66DB1226"/>
    <w:rsid w:val="66E520A5"/>
    <w:rsid w:val="66E53B44"/>
    <w:rsid w:val="66E63727"/>
    <w:rsid w:val="66F61BBC"/>
    <w:rsid w:val="66FE6035"/>
    <w:rsid w:val="6711040B"/>
    <w:rsid w:val="6715319B"/>
    <w:rsid w:val="6716225F"/>
    <w:rsid w:val="671B437C"/>
    <w:rsid w:val="671D2A6C"/>
    <w:rsid w:val="671F124A"/>
    <w:rsid w:val="67292614"/>
    <w:rsid w:val="67296270"/>
    <w:rsid w:val="672C3830"/>
    <w:rsid w:val="672C55DE"/>
    <w:rsid w:val="67386556"/>
    <w:rsid w:val="67472DF1"/>
    <w:rsid w:val="674A3DD5"/>
    <w:rsid w:val="67511853"/>
    <w:rsid w:val="67627252"/>
    <w:rsid w:val="676415B4"/>
    <w:rsid w:val="67653A19"/>
    <w:rsid w:val="67654F94"/>
    <w:rsid w:val="67691BCB"/>
    <w:rsid w:val="676B43BA"/>
    <w:rsid w:val="67746F85"/>
    <w:rsid w:val="677A33C6"/>
    <w:rsid w:val="6780592A"/>
    <w:rsid w:val="678216A2"/>
    <w:rsid w:val="6784541A"/>
    <w:rsid w:val="678B324A"/>
    <w:rsid w:val="6798117B"/>
    <w:rsid w:val="6799717A"/>
    <w:rsid w:val="679A4C3E"/>
    <w:rsid w:val="67A00BDC"/>
    <w:rsid w:val="67A374E7"/>
    <w:rsid w:val="67A47A5D"/>
    <w:rsid w:val="67A61AE3"/>
    <w:rsid w:val="67AC37C7"/>
    <w:rsid w:val="67B51A77"/>
    <w:rsid w:val="67B81568"/>
    <w:rsid w:val="67B92D10"/>
    <w:rsid w:val="67B9660B"/>
    <w:rsid w:val="67C25F42"/>
    <w:rsid w:val="67CA03AE"/>
    <w:rsid w:val="67CC6DC1"/>
    <w:rsid w:val="67CE0FFF"/>
    <w:rsid w:val="67CE2B39"/>
    <w:rsid w:val="67D03C9D"/>
    <w:rsid w:val="67D134F9"/>
    <w:rsid w:val="67D16484"/>
    <w:rsid w:val="67D65EA6"/>
    <w:rsid w:val="67DE6431"/>
    <w:rsid w:val="67E15081"/>
    <w:rsid w:val="67E5742A"/>
    <w:rsid w:val="67EC61B7"/>
    <w:rsid w:val="67ED7181"/>
    <w:rsid w:val="67F56318"/>
    <w:rsid w:val="67F73E3E"/>
    <w:rsid w:val="67F758E4"/>
    <w:rsid w:val="67F85E08"/>
    <w:rsid w:val="67FA37C9"/>
    <w:rsid w:val="67FD1E12"/>
    <w:rsid w:val="67FD663D"/>
    <w:rsid w:val="68024591"/>
    <w:rsid w:val="68050ECB"/>
    <w:rsid w:val="68116208"/>
    <w:rsid w:val="681360C0"/>
    <w:rsid w:val="68164C05"/>
    <w:rsid w:val="681F1BF1"/>
    <w:rsid w:val="681F6961"/>
    <w:rsid w:val="68286367"/>
    <w:rsid w:val="68297D70"/>
    <w:rsid w:val="682B1D3A"/>
    <w:rsid w:val="682D235F"/>
    <w:rsid w:val="683010FE"/>
    <w:rsid w:val="6837176B"/>
    <w:rsid w:val="683A1F7D"/>
    <w:rsid w:val="683B5C6D"/>
    <w:rsid w:val="683F2971"/>
    <w:rsid w:val="68402D5F"/>
    <w:rsid w:val="6841155D"/>
    <w:rsid w:val="68420E31"/>
    <w:rsid w:val="68464DC5"/>
    <w:rsid w:val="68474334"/>
    <w:rsid w:val="684D3A5E"/>
    <w:rsid w:val="684E5A28"/>
    <w:rsid w:val="6850657F"/>
    <w:rsid w:val="68610A2F"/>
    <w:rsid w:val="686314D3"/>
    <w:rsid w:val="68680898"/>
    <w:rsid w:val="686C24C6"/>
    <w:rsid w:val="68721717"/>
    <w:rsid w:val="6874387B"/>
    <w:rsid w:val="68751207"/>
    <w:rsid w:val="687B6875"/>
    <w:rsid w:val="687C4359"/>
    <w:rsid w:val="68805514"/>
    <w:rsid w:val="68894FCE"/>
    <w:rsid w:val="68A179E6"/>
    <w:rsid w:val="68A85138"/>
    <w:rsid w:val="68AA7102"/>
    <w:rsid w:val="68AC1AFC"/>
    <w:rsid w:val="68AF21DE"/>
    <w:rsid w:val="68B22985"/>
    <w:rsid w:val="68B25FB7"/>
    <w:rsid w:val="68B51AFA"/>
    <w:rsid w:val="68B63907"/>
    <w:rsid w:val="68B65AA7"/>
    <w:rsid w:val="68B9254A"/>
    <w:rsid w:val="68BC6274"/>
    <w:rsid w:val="68BE495C"/>
    <w:rsid w:val="68C33D20"/>
    <w:rsid w:val="68C43AF0"/>
    <w:rsid w:val="68C6157D"/>
    <w:rsid w:val="68C87588"/>
    <w:rsid w:val="68DA3B71"/>
    <w:rsid w:val="68E04F27"/>
    <w:rsid w:val="68E31E3D"/>
    <w:rsid w:val="68E55080"/>
    <w:rsid w:val="68EB1EED"/>
    <w:rsid w:val="68EF1D54"/>
    <w:rsid w:val="68F11B41"/>
    <w:rsid w:val="68F15A99"/>
    <w:rsid w:val="68F20B01"/>
    <w:rsid w:val="68F37E30"/>
    <w:rsid w:val="68F50EC1"/>
    <w:rsid w:val="68F55EA4"/>
    <w:rsid w:val="68F640F6"/>
    <w:rsid w:val="68F760C0"/>
    <w:rsid w:val="68F77E6E"/>
    <w:rsid w:val="68FB5BB0"/>
    <w:rsid w:val="68FC7232"/>
    <w:rsid w:val="690A2C65"/>
    <w:rsid w:val="691102A0"/>
    <w:rsid w:val="69117181"/>
    <w:rsid w:val="691303BA"/>
    <w:rsid w:val="69132EFA"/>
    <w:rsid w:val="69181CC6"/>
    <w:rsid w:val="691B590A"/>
    <w:rsid w:val="691B62EB"/>
    <w:rsid w:val="6923527A"/>
    <w:rsid w:val="69270594"/>
    <w:rsid w:val="692A2C05"/>
    <w:rsid w:val="692C7B17"/>
    <w:rsid w:val="69316E2F"/>
    <w:rsid w:val="69366BE8"/>
    <w:rsid w:val="693C3AD3"/>
    <w:rsid w:val="694068F6"/>
    <w:rsid w:val="694227A4"/>
    <w:rsid w:val="69472BA3"/>
    <w:rsid w:val="694E2071"/>
    <w:rsid w:val="694E615D"/>
    <w:rsid w:val="69584DB0"/>
    <w:rsid w:val="69590F24"/>
    <w:rsid w:val="69600CA4"/>
    <w:rsid w:val="6962388F"/>
    <w:rsid w:val="69690D6B"/>
    <w:rsid w:val="696A0640"/>
    <w:rsid w:val="696C30CA"/>
    <w:rsid w:val="696F20FA"/>
    <w:rsid w:val="69713982"/>
    <w:rsid w:val="69735746"/>
    <w:rsid w:val="69766163"/>
    <w:rsid w:val="697A3B33"/>
    <w:rsid w:val="697C1D55"/>
    <w:rsid w:val="697E7DF4"/>
    <w:rsid w:val="69872FA0"/>
    <w:rsid w:val="69894212"/>
    <w:rsid w:val="69895CAB"/>
    <w:rsid w:val="698C05B6"/>
    <w:rsid w:val="698C4A5A"/>
    <w:rsid w:val="69963F61"/>
    <w:rsid w:val="699A6C2C"/>
    <w:rsid w:val="69A14406"/>
    <w:rsid w:val="69A32091"/>
    <w:rsid w:val="69A9560C"/>
    <w:rsid w:val="69AA3132"/>
    <w:rsid w:val="69B31FE7"/>
    <w:rsid w:val="69B47727"/>
    <w:rsid w:val="69B5445F"/>
    <w:rsid w:val="69B875FD"/>
    <w:rsid w:val="69BB533F"/>
    <w:rsid w:val="69BD3DA1"/>
    <w:rsid w:val="69BE059D"/>
    <w:rsid w:val="69C02956"/>
    <w:rsid w:val="69D44760"/>
    <w:rsid w:val="69D93B3C"/>
    <w:rsid w:val="69DA3A17"/>
    <w:rsid w:val="69DD3507"/>
    <w:rsid w:val="69E14AEB"/>
    <w:rsid w:val="69EF6418"/>
    <w:rsid w:val="6A070584"/>
    <w:rsid w:val="6A13229E"/>
    <w:rsid w:val="6A170EE8"/>
    <w:rsid w:val="6A260A0B"/>
    <w:rsid w:val="6A284FCF"/>
    <w:rsid w:val="6A2A116A"/>
    <w:rsid w:val="6A2C0F9E"/>
    <w:rsid w:val="6A301889"/>
    <w:rsid w:val="6A366774"/>
    <w:rsid w:val="6A37722F"/>
    <w:rsid w:val="6A394616"/>
    <w:rsid w:val="6A3A18D9"/>
    <w:rsid w:val="6A3F4B36"/>
    <w:rsid w:val="6A4740DD"/>
    <w:rsid w:val="6A505A87"/>
    <w:rsid w:val="6A520EC7"/>
    <w:rsid w:val="6A554E4C"/>
    <w:rsid w:val="6A6118CD"/>
    <w:rsid w:val="6A611A43"/>
    <w:rsid w:val="6A6B466F"/>
    <w:rsid w:val="6A8676FB"/>
    <w:rsid w:val="6A940612"/>
    <w:rsid w:val="6A9A31A7"/>
    <w:rsid w:val="6A9D7C7D"/>
    <w:rsid w:val="6AA04931"/>
    <w:rsid w:val="6AA82F17"/>
    <w:rsid w:val="6AB1490B"/>
    <w:rsid w:val="6AB2229E"/>
    <w:rsid w:val="6ABF0AB2"/>
    <w:rsid w:val="6ACB4970"/>
    <w:rsid w:val="6ACC5357"/>
    <w:rsid w:val="6AD32711"/>
    <w:rsid w:val="6ADA0F6D"/>
    <w:rsid w:val="6AE13F74"/>
    <w:rsid w:val="6AE306AA"/>
    <w:rsid w:val="6AE64CF6"/>
    <w:rsid w:val="6AE663EC"/>
    <w:rsid w:val="6AEF0926"/>
    <w:rsid w:val="6AF02DC7"/>
    <w:rsid w:val="6AF87E20"/>
    <w:rsid w:val="6B137166"/>
    <w:rsid w:val="6B1527AA"/>
    <w:rsid w:val="6B19056F"/>
    <w:rsid w:val="6B2313EE"/>
    <w:rsid w:val="6B246C2F"/>
    <w:rsid w:val="6B282560"/>
    <w:rsid w:val="6B2C4CFA"/>
    <w:rsid w:val="6B322639"/>
    <w:rsid w:val="6B3727A3"/>
    <w:rsid w:val="6B3E3B32"/>
    <w:rsid w:val="6B4013DC"/>
    <w:rsid w:val="6B421874"/>
    <w:rsid w:val="6B483509"/>
    <w:rsid w:val="6B4D0219"/>
    <w:rsid w:val="6B5A29CA"/>
    <w:rsid w:val="6B5C220A"/>
    <w:rsid w:val="6B5E41D4"/>
    <w:rsid w:val="6B633383"/>
    <w:rsid w:val="6B664A6B"/>
    <w:rsid w:val="6B676798"/>
    <w:rsid w:val="6B6C1B02"/>
    <w:rsid w:val="6B767770"/>
    <w:rsid w:val="6B886A62"/>
    <w:rsid w:val="6B9320D0"/>
    <w:rsid w:val="6B9D577C"/>
    <w:rsid w:val="6BA442DD"/>
    <w:rsid w:val="6BA50055"/>
    <w:rsid w:val="6BA86A5A"/>
    <w:rsid w:val="6BAA11C7"/>
    <w:rsid w:val="6BB43DF4"/>
    <w:rsid w:val="6BBE6EF4"/>
    <w:rsid w:val="6BC462D5"/>
    <w:rsid w:val="6BCE4EB6"/>
    <w:rsid w:val="6BCF0C2E"/>
    <w:rsid w:val="6BD24AD7"/>
    <w:rsid w:val="6BD3071E"/>
    <w:rsid w:val="6BD66460"/>
    <w:rsid w:val="6BD70CE4"/>
    <w:rsid w:val="6BDA1C3F"/>
    <w:rsid w:val="6BDC6DDB"/>
    <w:rsid w:val="6BDF3C1A"/>
    <w:rsid w:val="6BE0220C"/>
    <w:rsid w:val="6BE1717E"/>
    <w:rsid w:val="6BF16DF6"/>
    <w:rsid w:val="6BF3040B"/>
    <w:rsid w:val="6C0B6DD4"/>
    <w:rsid w:val="6C130C1B"/>
    <w:rsid w:val="6C1E5CFE"/>
    <w:rsid w:val="6C21446C"/>
    <w:rsid w:val="6C2259BA"/>
    <w:rsid w:val="6C245DF2"/>
    <w:rsid w:val="6C2540C1"/>
    <w:rsid w:val="6C2A4F4A"/>
    <w:rsid w:val="6C2E25AF"/>
    <w:rsid w:val="6C3C4C73"/>
    <w:rsid w:val="6C414DFF"/>
    <w:rsid w:val="6C530FF2"/>
    <w:rsid w:val="6C542090"/>
    <w:rsid w:val="6C586E75"/>
    <w:rsid w:val="6C5F63E1"/>
    <w:rsid w:val="6C611024"/>
    <w:rsid w:val="6C635B76"/>
    <w:rsid w:val="6C636C38"/>
    <w:rsid w:val="6C66433F"/>
    <w:rsid w:val="6C6649B9"/>
    <w:rsid w:val="6C681A24"/>
    <w:rsid w:val="6C6C7FB4"/>
    <w:rsid w:val="6C727F37"/>
    <w:rsid w:val="6C735A5D"/>
    <w:rsid w:val="6C775F2D"/>
    <w:rsid w:val="6C7F2654"/>
    <w:rsid w:val="6C88395A"/>
    <w:rsid w:val="6C8B5E06"/>
    <w:rsid w:val="6C8D2FC3"/>
    <w:rsid w:val="6C9003BD"/>
    <w:rsid w:val="6C957CF3"/>
    <w:rsid w:val="6C96452E"/>
    <w:rsid w:val="6C993375"/>
    <w:rsid w:val="6C9A441A"/>
    <w:rsid w:val="6CA4030D"/>
    <w:rsid w:val="6CA81BAB"/>
    <w:rsid w:val="6CAB51F7"/>
    <w:rsid w:val="6CB5598C"/>
    <w:rsid w:val="6CB574E0"/>
    <w:rsid w:val="6CB70040"/>
    <w:rsid w:val="6CB75CEE"/>
    <w:rsid w:val="6CBD36AB"/>
    <w:rsid w:val="6CBE3F56"/>
    <w:rsid w:val="6CC369E5"/>
    <w:rsid w:val="6CC62031"/>
    <w:rsid w:val="6CC676B3"/>
    <w:rsid w:val="6CC9203F"/>
    <w:rsid w:val="6CCD33BF"/>
    <w:rsid w:val="6CCE0BB0"/>
    <w:rsid w:val="6CD065DC"/>
    <w:rsid w:val="6CD11275"/>
    <w:rsid w:val="6CDA24F0"/>
    <w:rsid w:val="6CDB5DB1"/>
    <w:rsid w:val="6CDC1854"/>
    <w:rsid w:val="6CDF0F6D"/>
    <w:rsid w:val="6CE35716"/>
    <w:rsid w:val="6CF15703"/>
    <w:rsid w:val="6CF7115D"/>
    <w:rsid w:val="6D0363C7"/>
    <w:rsid w:val="6D0D7236"/>
    <w:rsid w:val="6D0E5786"/>
    <w:rsid w:val="6D1008F8"/>
    <w:rsid w:val="6D12171A"/>
    <w:rsid w:val="6D1B3138"/>
    <w:rsid w:val="6D230A09"/>
    <w:rsid w:val="6D2D3E5E"/>
    <w:rsid w:val="6D2E09A8"/>
    <w:rsid w:val="6D2F5E28"/>
    <w:rsid w:val="6D2F7BD6"/>
    <w:rsid w:val="6D417909"/>
    <w:rsid w:val="6D4318D3"/>
    <w:rsid w:val="6D464F20"/>
    <w:rsid w:val="6D4F64CA"/>
    <w:rsid w:val="6D513FF0"/>
    <w:rsid w:val="6D5B4E6F"/>
    <w:rsid w:val="6D613F29"/>
    <w:rsid w:val="6D674AA4"/>
    <w:rsid w:val="6D742FD5"/>
    <w:rsid w:val="6D7A4EB1"/>
    <w:rsid w:val="6D7E290C"/>
    <w:rsid w:val="6D7E62F1"/>
    <w:rsid w:val="6D831FA7"/>
    <w:rsid w:val="6D837F22"/>
    <w:rsid w:val="6D8559D9"/>
    <w:rsid w:val="6D8E7A77"/>
    <w:rsid w:val="6D957961"/>
    <w:rsid w:val="6D9640F9"/>
    <w:rsid w:val="6D9C5736"/>
    <w:rsid w:val="6DA07B96"/>
    <w:rsid w:val="6DA25542"/>
    <w:rsid w:val="6DB02645"/>
    <w:rsid w:val="6DB34098"/>
    <w:rsid w:val="6DB545B6"/>
    <w:rsid w:val="6DB91B96"/>
    <w:rsid w:val="6DBA0FF8"/>
    <w:rsid w:val="6DC16A23"/>
    <w:rsid w:val="6DC67221"/>
    <w:rsid w:val="6DD436B8"/>
    <w:rsid w:val="6DE02FB4"/>
    <w:rsid w:val="6DE44063"/>
    <w:rsid w:val="6DE713B0"/>
    <w:rsid w:val="6DE85FD7"/>
    <w:rsid w:val="6DF1625D"/>
    <w:rsid w:val="6DF57210"/>
    <w:rsid w:val="6E084A41"/>
    <w:rsid w:val="6E0964E5"/>
    <w:rsid w:val="6E0D180F"/>
    <w:rsid w:val="6E1A0886"/>
    <w:rsid w:val="6E1B015A"/>
    <w:rsid w:val="6E1B340B"/>
    <w:rsid w:val="6E25722B"/>
    <w:rsid w:val="6E2707B8"/>
    <w:rsid w:val="6E2E4332"/>
    <w:rsid w:val="6E2E7E8E"/>
    <w:rsid w:val="6E3B7216"/>
    <w:rsid w:val="6E3D0AC7"/>
    <w:rsid w:val="6E4B6895"/>
    <w:rsid w:val="6E4E6C96"/>
    <w:rsid w:val="6E4F0B95"/>
    <w:rsid w:val="6E51390F"/>
    <w:rsid w:val="6E514CED"/>
    <w:rsid w:val="6E5718F2"/>
    <w:rsid w:val="6E5A00D0"/>
    <w:rsid w:val="6E5B2C4D"/>
    <w:rsid w:val="6E6715F2"/>
    <w:rsid w:val="6E6C6C08"/>
    <w:rsid w:val="6E702ED6"/>
    <w:rsid w:val="6E7E13E9"/>
    <w:rsid w:val="6E7F1518"/>
    <w:rsid w:val="6E867D07"/>
    <w:rsid w:val="6E883A26"/>
    <w:rsid w:val="6E9538D5"/>
    <w:rsid w:val="6E985C4F"/>
    <w:rsid w:val="6EA05CFE"/>
    <w:rsid w:val="6EA2087C"/>
    <w:rsid w:val="6EA2262A"/>
    <w:rsid w:val="6EA25F97"/>
    <w:rsid w:val="6EA32F32"/>
    <w:rsid w:val="6EA97C15"/>
    <w:rsid w:val="6EAB4FB6"/>
    <w:rsid w:val="6EB14D9C"/>
    <w:rsid w:val="6EB563D5"/>
    <w:rsid w:val="6EBA0392"/>
    <w:rsid w:val="6EC03517"/>
    <w:rsid w:val="6EC30F1E"/>
    <w:rsid w:val="6EC945E8"/>
    <w:rsid w:val="6ECE2A95"/>
    <w:rsid w:val="6ED66CF1"/>
    <w:rsid w:val="6ED924EF"/>
    <w:rsid w:val="6ED92677"/>
    <w:rsid w:val="6EDA6267"/>
    <w:rsid w:val="6EDF562C"/>
    <w:rsid w:val="6EE053AE"/>
    <w:rsid w:val="6EE508CD"/>
    <w:rsid w:val="6EE7351C"/>
    <w:rsid w:val="6EED2F55"/>
    <w:rsid w:val="6EF36D21"/>
    <w:rsid w:val="6EF47329"/>
    <w:rsid w:val="6EF70BC7"/>
    <w:rsid w:val="6F0976F4"/>
    <w:rsid w:val="6F123AA2"/>
    <w:rsid w:val="6F174A7C"/>
    <w:rsid w:val="6F1B2ADE"/>
    <w:rsid w:val="6F225983"/>
    <w:rsid w:val="6F2730E5"/>
    <w:rsid w:val="6F2968A7"/>
    <w:rsid w:val="6F2B261F"/>
    <w:rsid w:val="6F2B7815"/>
    <w:rsid w:val="6F323B40"/>
    <w:rsid w:val="6F372C75"/>
    <w:rsid w:val="6F4357DF"/>
    <w:rsid w:val="6F4D5ED1"/>
    <w:rsid w:val="6F4D71BB"/>
    <w:rsid w:val="6F502086"/>
    <w:rsid w:val="6F554B99"/>
    <w:rsid w:val="6F5A3B75"/>
    <w:rsid w:val="6F5D2779"/>
    <w:rsid w:val="6F6C5F58"/>
    <w:rsid w:val="6F6F3EB5"/>
    <w:rsid w:val="6F6F5CBF"/>
    <w:rsid w:val="6F701863"/>
    <w:rsid w:val="6F7E40CC"/>
    <w:rsid w:val="6F7F3DCB"/>
    <w:rsid w:val="6F800BBD"/>
    <w:rsid w:val="6F83245B"/>
    <w:rsid w:val="6F854425"/>
    <w:rsid w:val="6F8A5E96"/>
    <w:rsid w:val="6F914B78"/>
    <w:rsid w:val="6F96218E"/>
    <w:rsid w:val="6F997ED1"/>
    <w:rsid w:val="6FA600FE"/>
    <w:rsid w:val="6FAA5C3A"/>
    <w:rsid w:val="6FAC7C04"/>
    <w:rsid w:val="6FB064E6"/>
    <w:rsid w:val="6FB71A96"/>
    <w:rsid w:val="6FBE16E5"/>
    <w:rsid w:val="6FC62348"/>
    <w:rsid w:val="6FCA62DC"/>
    <w:rsid w:val="6FCE7B7A"/>
    <w:rsid w:val="6FD31CA4"/>
    <w:rsid w:val="6FD517E3"/>
    <w:rsid w:val="6FE41777"/>
    <w:rsid w:val="6FEC3A89"/>
    <w:rsid w:val="6FEC6BBB"/>
    <w:rsid w:val="6FF56918"/>
    <w:rsid w:val="6FF60E7F"/>
    <w:rsid w:val="6FF70FD9"/>
    <w:rsid w:val="6FFC5590"/>
    <w:rsid w:val="70034DFC"/>
    <w:rsid w:val="70090BB2"/>
    <w:rsid w:val="700F3D5B"/>
    <w:rsid w:val="701337DF"/>
    <w:rsid w:val="70137EAF"/>
    <w:rsid w:val="70187047"/>
    <w:rsid w:val="70190652"/>
    <w:rsid w:val="70286C21"/>
    <w:rsid w:val="70311EB7"/>
    <w:rsid w:val="703252F0"/>
    <w:rsid w:val="70363A1A"/>
    <w:rsid w:val="70392AEA"/>
    <w:rsid w:val="703D61C1"/>
    <w:rsid w:val="7040034C"/>
    <w:rsid w:val="70433BF4"/>
    <w:rsid w:val="704C0A9F"/>
    <w:rsid w:val="70525ABC"/>
    <w:rsid w:val="70587444"/>
    <w:rsid w:val="705D2CAC"/>
    <w:rsid w:val="705E6B19"/>
    <w:rsid w:val="706502DA"/>
    <w:rsid w:val="70666913"/>
    <w:rsid w:val="706D1DD0"/>
    <w:rsid w:val="706F11E0"/>
    <w:rsid w:val="707322F9"/>
    <w:rsid w:val="7073427E"/>
    <w:rsid w:val="707A560C"/>
    <w:rsid w:val="707D6EAA"/>
    <w:rsid w:val="70820965"/>
    <w:rsid w:val="70821DC4"/>
    <w:rsid w:val="70822713"/>
    <w:rsid w:val="70856B87"/>
    <w:rsid w:val="70885FE9"/>
    <w:rsid w:val="70891CF3"/>
    <w:rsid w:val="708C468D"/>
    <w:rsid w:val="708E2E66"/>
    <w:rsid w:val="709366CE"/>
    <w:rsid w:val="709A1FF0"/>
    <w:rsid w:val="709B19DF"/>
    <w:rsid w:val="709B5583"/>
    <w:rsid w:val="709F6AF2"/>
    <w:rsid w:val="70A703CB"/>
    <w:rsid w:val="70AA294B"/>
    <w:rsid w:val="70B12D3E"/>
    <w:rsid w:val="70B84386"/>
    <w:rsid w:val="70C16B26"/>
    <w:rsid w:val="70C57D78"/>
    <w:rsid w:val="70CD7441"/>
    <w:rsid w:val="70CF246F"/>
    <w:rsid w:val="70CF6F1F"/>
    <w:rsid w:val="70D23D67"/>
    <w:rsid w:val="70D527EE"/>
    <w:rsid w:val="70D95CB5"/>
    <w:rsid w:val="70DE4AD6"/>
    <w:rsid w:val="70E82043"/>
    <w:rsid w:val="70EF410E"/>
    <w:rsid w:val="70F21646"/>
    <w:rsid w:val="71004CA5"/>
    <w:rsid w:val="710B26A4"/>
    <w:rsid w:val="71145AE6"/>
    <w:rsid w:val="71193077"/>
    <w:rsid w:val="711A01CC"/>
    <w:rsid w:val="711D41EA"/>
    <w:rsid w:val="71207ADA"/>
    <w:rsid w:val="71213541"/>
    <w:rsid w:val="71237A52"/>
    <w:rsid w:val="7128150C"/>
    <w:rsid w:val="712A2B74"/>
    <w:rsid w:val="712D4BF4"/>
    <w:rsid w:val="71422F46"/>
    <w:rsid w:val="71430F88"/>
    <w:rsid w:val="71476583"/>
    <w:rsid w:val="714A1482"/>
    <w:rsid w:val="71526589"/>
    <w:rsid w:val="71545124"/>
    <w:rsid w:val="7158427A"/>
    <w:rsid w:val="71597917"/>
    <w:rsid w:val="715B5300"/>
    <w:rsid w:val="71633A25"/>
    <w:rsid w:val="7164006A"/>
    <w:rsid w:val="716553D8"/>
    <w:rsid w:val="71655ED5"/>
    <w:rsid w:val="71663DE2"/>
    <w:rsid w:val="716D1033"/>
    <w:rsid w:val="716F0EE9"/>
    <w:rsid w:val="717007F0"/>
    <w:rsid w:val="71743336"/>
    <w:rsid w:val="717765AA"/>
    <w:rsid w:val="71854B29"/>
    <w:rsid w:val="71864485"/>
    <w:rsid w:val="71865DF2"/>
    <w:rsid w:val="7188162D"/>
    <w:rsid w:val="71891309"/>
    <w:rsid w:val="718D7E8B"/>
    <w:rsid w:val="71940950"/>
    <w:rsid w:val="71951952"/>
    <w:rsid w:val="719B262E"/>
    <w:rsid w:val="71A32941"/>
    <w:rsid w:val="71A566B9"/>
    <w:rsid w:val="71A60683"/>
    <w:rsid w:val="71A82DFD"/>
    <w:rsid w:val="71C80C6E"/>
    <w:rsid w:val="71C85EEA"/>
    <w:rsid w:val="71CA1399"/>
    <w:rsid w:val="71D27F8A"/>
    <w:rsid w:val="71D3089E"/>
    <w:rsid w:val="71D56755"/>
    <w:rsid w:val="71D652B6"/>
    <w:rsid w:val="71D72B1F"/>
    <w:rsid w:val="71DE0257"/>
    <w:rsid w:val="71EA65C1"/>
    <w:rsid w:val="71F37911"/>
    <w:rsid w:val="71F60D5A"/>
    <w:rsid w:val="71F67E0C"/>
    <w:rsid w:val="71FD64F5"/>
    <w:rsid w:val="71FE7A25"/>
    <w:rsid w:val="720722CD"/>
    <w:rsid w:val="720A29C0"/>
    <w:rsid w:val="72196CC1"/>
    <w:rsid w:val="721B2E1F"/>
    <w:rsid w:val="72273572"/>
    <w:rsid w:val="72294AE4"/>
    <w:rsid w:val="72343EE1"/>
    <w:rsid w:val="72350D0C"/>
    <w:rsid w:val="72383E34"/>
    <w:rsid w:val="723E3D3B"/>
    <w:rsid w:val="72403DEC"/>
    <w:rsid w:val="7249798C"/>
    <w:rsid w:val="72532DFC"/>
    <w:rsid w:val="72541E8D"/>
    <w:rsid w:val="72553024"/>
    <w:rsid w:val="725F5E28"/>
    <w:rsid w:val="7260609B"/>
    <w:rsid w:val="72661DA0"/>
    <w:rsid w:val="72682174"/>
    <w:rsid w:val="727442DD"/>
    <w:rsid w:val="72882821"/>
    <w:rsid w:val="72885ED4"/>
    <w:rsid w:val="728C2533"/>
    <w:rsid w:val="72937B09"/>
    <w:rsid w:val="72963825"/>
    <w:rsid w:val="729D11F5"/>
    <w:rsid w:val="72A6179E"/>
    <w:rsid w:val="72A6696B"/>
    <w:rsid w:val="72A746B3"/>
    <w:rsid w:val="72A93F87"/>
    <w:rsid w:val="72AC184D"/>
    <w:rsid w:val="72AC1AAC"/>
    <w:rsid w:val="72AE77EF"/>
    <w:rsid w:val="72B03039"/>
    <w:rsid w:val="72B226B4"/>
    <w:rsid w:val="72BC38B8"/>
    <w:rsid w:val="72C708B1"/>
    <w:rsid w:val="72C72C7C"/>
    <w:rsid w:val="72DB696C"/>
    <w:rsid w:val="72DD1E82"/>
    <w:rsid w:val="72DD4F62"/>
    <w:rsid w:val="72E23D38"/>
    <w:rsid w:val="72EB459F"/>
    <w:rsid w:val="72EE0A83"/>
    <w:rsid w:val="72F66BC4"/>
    <w:rsid w:val="73012015"/>
    <w:rsid w:val="730E4732"/>
    <w:rsid w:val="73122968"/>
    <w:rsid w:val="7314276E"/>
    <w:rsid w:val="73147EA4"/>
    <w:rsid w:val="731518C3"/>
    <w:rsid w:val="73153B3D"/>
    <w:rsid w:val="73192F93"/>
    <w:rsid w:val="731A740F"/>
    <w:rsid w:val="731F5D5E"/>
    <w:rsid w:val="73221F8B"/>
    <w:rsid w:val="73284024"/>
    <w:rsid w:val="732C40EC"/>
    <w:rsid w:val="73497518"/>
    <w:rsid w:val="734E5270"/>
    <w:rsid w:val="73506AF8"/>
    <w:rsid w:val="73537E15"/>
    <w:rsid w:val="73563BBB"/>
    <w:rsid w:val="735C724B"/>
    <w:rsid w:val="73613866"/>
    <w:rsid w:val="7366631C"/>
    <w:rsid w:val="73683568"/>
    <w:rsid w:val="73715A2B"/>
    <w:rsid w:val="737F118B"/>
    <w:rsid w:val="73831A46"/>
    <w:rsid w:val="738844E4"/>
    <w:rsid w:val="738E13CF"/>
    <w:rsid w:val="7391238F"/>
    <w:rsid w:val="73920EBF"/>
    <w:rsid w:val="73922C6D"/>
    <w:rsid w:val="739509AF"/>
    <w:rsid w:val="73972979"/>
    <w:rsid w:val="73A3391F"/>
    <w:rsid w:val="73AD5CF9"/>
    <w:rsid w:val="73AD7AA7"/>
    <w:rsid w:val="73AE07FB"/>
    <w:rsid w:val="73B154B0"/>
    <w:rsid w:val="73BB0416"/>
    <w:rsid w:val="73BD449F"/>
    <w:rsid w:val="73C10D7F"/>
    <w:rsid w:val="73C16B00"/>
    <w:rsid w:val="73C51AD5"/>
    <w:rsid w:val="73C6500C"/>
    <w:rsid w:val="73C82B32"/>
    <w:rsid w:val="73C84A0D"/>
    <w:rsid w:val="73D72923"/>
    <w:rsid w:val="73E334C8"/>
    <w:rsid w:val="73E57241"/>
    <w:rsid w:val="73E67BE6"/>
    <w:rsid w:val="73EB194A"/>
    <w:rsid w:val="73F455D3"/>
    <w:rsid w:val="73FB08DE"/>
    <w:rsid w:val="740056B9"/>
    <w:rsid w:val="74021ED0"/>
    <w:rsid w:val="740873D3"/>
    <w:rsid w:val="74091017"/>
    <w:rsid w:val="7415568B"/>
    <w:rsid w:val="741E2752"/>
    <w:rsid w:val="741E793C"/>
    <w:rsid w:val="7420471D"/>
    <w:rsid w:val="7428537F"/>
    <w:rsid w:val="74387CB8"/>
    <w:rsid w:val="743B57C8"/>
    <w:rsid w:val="74402578"/>
    <w:rsid w:val="74424693"/>
    <w:rsid w:val="74441FC5"/>
    <w:rsid w:val="74462127"/>
    <w:rsid w:val="744727AC"/>
    <w:rsid w:val="744C3764"/>
    <w:rsid w:val="744E4EEA"/>
    <w:rsid w:val="74554334"/>
    <w:rsid w:val="745E3944"/>
    <w:rsid w:val="745F1EE4"/>
    <w:rsid w:val="74604B19"/>
    <w:rsid w:val="74604EC8"/>
    <w:rsid w:val="746567CC"/>
    <w:rsid w:val="7469334D"/>
    <w:rsid w:val="746A3BEA"/>
    <w:rsid w:val="747131CA"/>
    <w:rsid w:val="74784559"/>
    <w:rsid w:val="747B1BB4"/>
    <w:rsid w:val="747B5DF7"/>
    <w:rsid w:val="747C367A"/>
    <w:rsid w:val="74884070"/>
    <w:rsid w:val="748C1DB2"/>
    <w:rsid w:val="74A01345"/>
    <w:rsid w:val="74A61DDB"/>
    <w:rsid w:val="74B03CF2"/>
    <w:rsid w:val="74B20994"/>
    <w:rsid w:val="74B304B7"/>
    <w:rsid w:val="74C50E20"/>
    <w:rsid w:val="74C72E75"/>
    <w:rsid w:val="74C90910"/>
    <w:rsid w:val="74CB0B2C"/>
    <w:rsid w:val="74D501AC"/>
    <w:rsid w:val="74D73A2E"/>
    <w:rsid w:val="74DB0643"/>
    <w:rsid w:val="74DE7D9A"/>
    <w:rsid w:val="74EA0887"/>
    <w:rsid w:val="74EF6161"/>
    <w:rsid w:val="74F17E67"/>
    <w:rsid w:val="74F42C27"/>
    <w:rsid w:val="74FF36AE"/>
    <w:rsid w:val="75080C0F"/>
    <w:rsid w:val="750B2C26"/>
    <w:rsid w:val="750C7070"/>
    <w:rsid w:val="75164601"/>
    <w:rsid w:val="751A116C"/>
    <w:rsid w:val="751D34C3"/>
    <w:rsid w:val="75260023"/>
    <w:rsid w:val="75267B11"/>
    <w:rsid w:val="75273752"/>
    <w:rsid w:val="752D7CF6"/>
    <w:rsid w:val="75363ACC"/>
    <w:rsid w:val="753B3FE9"/>
    <w:rsid w:val="753F6E24"/>
    <w:rsid w:val="75442EB2"/>
    <w:rsid w:val="754555B7"/>
    <w:rsid w:val="755521A4"/>
    <w:rsid w:val="75587EE6"/>
    <w:rsid w:val="75596138"/>
    <w:rsid w:val="755D54FC"/>
    <w:rsid w:val="75630CAA"/>
    <w:rsid w:val="75671ED7"/>
    <w:rsid w:val="756923C9"/>
    <w:rsid w:val="757B0F4D"/>
    <w:rsid w:val="757B1986"/>
    <w:rsid w:val="757F1753"/>
    <w:rsid w:val="75826ABC"/>
    <w:rsid w:val="75880FA7"/>
    <w:rsid w:val="7593293F"/>
    <w:rsid w:val="759A7136"/>
    <w:rsid w:val="75A00F8F"/>
    <w:rsid w:val="75A4312B"/>
    <w:rsid w:val="75A73D17"/>
    <w:rsid w:val="75AB55FC"/>
    <w:rsid w:val="75B30A4B"/>
    <w:rsid w:val="75B710B1"/>
    <w:rsid w:val="75BE5F9B"/>
    <w:rsid w:val="75C7501B"/>
    <w:rsid w:val="75CC1D6B"/>
    <w:rsid w:val="75CD1A64"/>
    <w:rsid w:val="75CE4660"/>
    <w:rsid w:val="75D204A1"/>
    <w:rsid w:val="75DA08FB"/>
    <w:rsid w:val="75E37CE6"/>
    <w:rsid w:val="75E654A5"/>
    <w:rsid w:val="75EB48B6"/>
    <w:rsid w:val="75EF43A6"/>
    <w:rsid w:val="75F0580D"/>
    <w:rsid w:val="75F06371"/>
    <w:rsid w:val="75F75951"/>
    <w:rsid w:val="75FE0A8D"/>
    <w:rsid w:val="760664E5"/>
    <w:rsid w:val="761004D0"/>
    <w:rsid w:val="7610431D"/>
    <w:rsid w:val="76196BB3"/>
    <w:rsid w:val="761E350A"/>
    <w:rsid w:val="761F1622"/>
    <w:rsid w:val="76263B40"/>
    <w:rsid w:val="76290533"/>
    <w:rsid w:val="762A0EA5"/>
    <w:rsid w:val="762D4ECF"/>
    <w:rsid w:val="762E768F"/>
    <w:rsid w:val="76341CA9"/>
    <w:rsid w:val="76342701"/>
    <w:rsid w:val="763476D8"/>
    <w:rsid w:val="7635099D"/>
    <w:rsid w:val="763E0E8A"/>
    <w:rsid w:val="763E491E"/>
    <w:rsid w:val="76402316"/>
    <w:rsid w:val="764346F2"/>
    <w:rsid w:val="76514A13"/>
    <w:rsid w:val="76520C38"/>
    <w:rsid w:val="76543082"/>
    <w:rsid w:val="765954A9"/>
    <w:rsid w:val="765B1A61"/>
    <w:rsid w:val="766052A4"/>
    <w:rsid w:val="76613366"/>
    <w:rsid w:val="766C6F6F"/>
    <w:rsid w:val="766F7295"/>
    <w:rsid w:val="7676788C"/>
    <w:rsid w:val="7677439C"/>
    <w:rsid w:val="767A45A9"/>
    <w:rsid w:val="767B2A14"/>
    <w:rsid w:val="767D5ABE"/>
    <w:rsid w:val="76893693"/>
    <w:rsid w:val="768A0573"/>
    <w:rsid w:val="768F24C5"/>
    <w:rsid w:val="769A73AB"/>
    <w:rsid w:val="769B36AE"/>
    <w:rsid w:val="769D2054"/>
    <w:rsid w:val="76A006D2"/>
    <w:rsid w:val="76AC2297"/>
    <w:rsid w:val="76AD25C4"/>
    <w:rsid w:val="76B15B00"/>
    <w:rsid w:val="76B72AAB"/>
    <w:rsid w:val="76C23869"/>
    <w:rsid w:val="76D56A64"/>
    <w:rsid w:val="76D725FB"/>
    <w:rsid w:val="76D90BB3"/>
    <w:rsid w:val="76DA1597"/>
    <w:rsid w:val="76DE2BB1"/>
    <w:rsid w:val="76E15DEB"/>
    <w:rsid w:val="76E6605F"/>
    <w:rsid w:val="76EA6A17"/>
    <w:rsid w:val="77083A02"/>
    <w:rsid w:val="7727026C"/>
    <w:rsid w:val="77316CCA"/>
    <w:rsid w:val="7735228D"/>
    <w:rsid w:val="773C77C5"/>
    <w:rsid w:val="774424D0"/>
    <w:rsid w:val="77470212"/>
    <w:rsid w:val="774D1813"/>
    <w:rsid w:val="775A0F7E"/>
    <w:rsid w:val="775C1F10"/>
    <w:rsid w:val="77693957"/>
    <w:rsid w:val="77704D15"/>
    <w:rsid w:val="77734ADB"/>
    <w:rsid w:val="77762421"/>
    <w:rsid w:val="777A1B81"/>
    <w:rsid w:val="778D53B6"/>
    <w:rsid w:val="778E0B49"/>
    <w:rsid w:val="778E66C7"/>
    <w:rsid w:val="77905DF7"/>
    <w:rsid w:val="77947599"/>
    <w:rsid w:val="7797595C"/>
    <w:rsid w:val="77996C7C"/>
    <w:rsid w:val="779A6EE6"/>
    <w:rsid w:val="779B6A31"/>
    <w:rsid w:val="779B7D28"/>
    <w:rsid w:val="77A26B00"/>
    <w:rsid w:val="77A56AD2"/>
    <w:rsid w:val="77A91832"/>
    <w:rsid w:val="77AA00CE"/>
    <w:rsid w:val="77AB1B33"/>
    <w:rsid w:val="77AB2897"/>
    <w:rsid w:val="77AB609D"/>
    <w:rsid w:val="77AE1F49"/>
    <w:rsid w:val="77B01AE4"/>
    <w:rsid w:val="77B56B1F"/>
    <w:rsid w:val="77B577B2"/>
    <w:rsid w:val="77BD1002"/>
    <w:rsid w:val="77C17D02"/>
    <w:rsid w:val="77C84463"/>
    <w:rsid w:val="77CF26E1"/>
    <w:rsid w:val="77D215E8"/>
    <w:rsid w:val="77E42D7E"/>
    <w:rsid w:val="77F75794"/>
    <w:rsid w:val="78035AA9"/>
    <w:rsid w:val="7808174F"/>
    <w:rsid w:val="780F09F4"/>
    <w:rsid w:val="781400F4"/>
    <w:rsid w:val="781A261D"/>
    <w:rsid w:val="781C169F"/>
    <w:rsid w:val="78202F3D"/>
    <w:rsid w:val="78240E8A"/>
    <w:rsid w:val="78264BDF"/>
    <w:rsid w:val="78295C8A"/>
    <w:rsid w:val="782A2C19"/>
    <w:rsid w:val="783172BA"/>
    <w:rsid w:val="783C764B"/>
    <w:rsid w:val="78462278"/>
    <w:rsid w:val="78467FEE"/>
    <w:rsid w:val="78493CDA"/>
    <w:rsid w:val="784A30D1"/>
    <w:rsid w:val="784D7AAA"/>
    <w:rsid w:val="78554B0E"/>
    <w:rsid w:val="78566382"/>
    <w:rsid w:val="78585600"/>
    <w:rsid w:val="785E5813"/>
    <w:rsid w:val="785F5A62"/>
    <w:rsid w:val="78650950"/>
    <w:rsid w:val="78660143"/>
    <w:rsid w:val="786765E2"/>
    <w:rsid w:val="78784D2C"/>
    <w:rsid w:val="78794DF5"/>
    <w:rsid w:val="788113F2"/>
    <w:rsid w:val="788334CC"/>
    <w:rsid w:val="7883527A"/>
    <w:rsid w:val="788468DD"/>
    <w:rsid w:val="78850FF2"/>
    <w:rsid w:val="78857153"/>
    <w:rsid w:val="789306CE"/>
    <w:rsid w:val="78955BF5"/>
    <w:rsid w:val="789952B5"/>
    <w:rsid w:val="78A53796"/>
    <w:rsid w:val="78A70F68"/>
    <w:rsid w:val="78A82286"/>
    <w:rsid w:val="78A84797"/>
    <w:rsid w:val="78A90480"/>
    <w:rsid w:val="78AC2A23"/>
    <w:rsid w:val="78BF48C6"/>
    <w:rsid w:val="78C1437F"/>
    <w:rsid w:val="78C63C56"/>
    <w:rsid w:val="78C7160B"/>
    <w:rsid w:val="78CF226D"/>
    <w:rsid w:val="78D10CC3"/>
    <w:rsid w:val="78D9133E"/>
    <w:rsid w:val="78DC5F79"/>
    <w:rsid w:val="78E21A10"/>
    <w:rsid w:val="78E2783D"/>
    <w:rsid w:val="78E51A91"/>
    <w:rsid w:val="78E73A5B"/>
    <w:rsid w:val="78E8003D"/>
    <w:rsid w:val="78E97B0F"/>
    <w:rsid w:val="78EF2046"/>
    <w:rsid w:val="78EF6B7F"/>
    <w:rsid w:val="78F6152B"/>
    <w:rsid w:val="78F85D5D"/>
    <w:rsid w:val="78FB1F24"/>
    <w:rsid w:val="78FF0DA4"/>
    <w:rsid w:val="79064B47"/>
    <w:rsid w:val="790F4D60"/>
    <w:rsid w:val="79133E52"/>
    <w:rsid w:val="791B54B2"/>
    <w:rsid w:val="79200DCD"/>
    <w:rsid w:val="79224A93"/>
    <w:rsid w:val="7924080B"/>
    <w:rsid w:val="79296347"/>
    <w:rsid w:val="792A1B99"/>
    <w:rsid w:val="792D553A"/>
    <w:rsid w:val="792F0F5E"/>
    <w:rsid w:val="7930243D"/>
    <w:rsid w:val="79337697"/>
    <w:rsid w:val="793B7BFC"/>
    <w:rsid w:val="7949004B"/>
    <w:rsid w:val="795267E0"/>
    <w:rsid w:val="795320CE"/>
    <w:rsid w:val="79560E45"/>
    <w:rsid w:val="795B7FA5"/>
    <w:rsid w:val="796465B7"/>
    <w:rsid w:val="796719D5"/>
    <w:rsid w:val="79686A59"/>
    <w:rsid w:val="796D3484"/>
    <w:rsid w:val="796D5AE1"/>
    <w:rsid w:val="79766B8D"/>
    <w:rsid w:val="79894B12"/>
    <w:rsid w:val="798D1C46"/>
    <w:rsid w:val="7990468F"/>
    <w:rsid w:val="79912323"/>
    <w:rsid w:val="799A6053"/>
    <w:rsid w:val="79A13C0A"/>
    <w:rsid w:val="79A656C4"/>
    <w:rsid w:val="79AF4A63"/>
    <w:rsid w:val="79B17E09"/>
    <w:rsid w:val="79B67EF4"/>
    <w:rsid w:val="79BB03B9"/>
    <w:rsid w:val="79BC0A44"/>
    <w:rsid w:val="79C45B4A"/>
    <w:rsid w:val="79C60F5C"/>
    <w:rsid w:val="79C618C2"/>
    <w:rsid w:val="79CB0C87"/>
    <w:rsid w:val="79D55FA9"/>
    <w:rsid w:val="79DD36E4"/>
    <w:rsid w:val="79E1494E"/>
    <w:rsid w:val="79E90116"/>
    <w:rsid w:val="79EB030E"/>
    <w:rsid w:val="79EC23DB"/>
    <w:rsid w:val="79F226B7"/>
    <w:rsid w:val="79F35B9E"/>
    <w:rsid w:val="79F41F5D"/>
    <w:rsid w:val="79F53F55"/>
    <w:rsid w:val="7A0D129F"/>
    <w:rsid w:val="7A0E5017"/>
    <w:rsid w:val="7A1E525A"/>
    <w:rsid w:val="7A1E71FD"/>
    <w:rsid w:val="7A1F7CE6"/>
    <w:rsid w:val="7A230792"/>
    <w:rsid w:val="7A2813BB"/>
    <w:rsid w:val="7A2C547F"/>
    <w:rsid w:val="7A2F60FA"/>
    <w:rsid w:val="7A315B00"/>
    <w:rsid w:val="7A364017"/>
    <w:rsid w:val="7A37631C"/>
    <w:rsid w:val="7A4642E6"/>
    <w:rsid w:val="7A49604F"/>
    <w:rsid w:val="7A4F7B0A"/>
    <w:rsid w:val="7A545120"/>
    <w:rsid w:val="7A552C46"/>
    <w:rsid w:val="7A603AC5"/>
    <w:rsid w:val="7A6B4218"/>
    <w:rsid w:val="7A8265E1"/>
    <w:rsid w:val="7A8A0B42"/>
    <w:rsid w:val="7A8E5DFE"/>
    <w:rsid w:val="7A8F43AA"/>
    <w:rsid w:val="7A912444"/>
    <w:rsid w:val="7AA92C7C"/>
    <w:rsid w:val="7AAC0AB8"/>
    <w:rsid w:val="7AB21F4D"/>
    <w:rsid w:val="7AB36733"/>
    <w:rsid w:val="7AB4796D"/>
    <w:rsid w:val="7AB7745D"/>
    <w:rsid w:val="7AC758F2"/>
    <w:rsid w:val="7AC91310"/>
    <w:rsid w:val="7ACB4CB6"/>
    <w:rsid w:val="7ACD233B"/>
    <w:rsid w:val="7AD27528"/>
    <w:rsid w:val="7AD62B8F"/>
    <w:rsid w:val="7AD95625"/>
    <w:rsid w:val="7AE06A8D"/>
    <w:rsid w:val="7AE57085"/>
    <w:rsid w:val="7AF81F4F"/>
    <w:rsid w:val="7AFA7494"/>
    <w:rsid w:val="7AFC49D5"/>
    <w:rsid w:val="7AFF2B3C"/>
    <w:rsid w:val="7B011018"/>
    <w:rsid w:val="7B0326A2"/>
    <w:rsid w:val="7B054A50"/>
    <w:rsid w:val="7B0E2438"/>
    <w:rsid w:val="7B192954"/>
    <w:rsid w:val="7B265C47"/>
    <w:rsid w:val="7B29035B"/>
    <w:rsid w:val="7B2A5E81"/>
    <w:rsid w:val="7B2B320B"/>
    <w:rsid w:val="7B2F5245"/>
    <w:rsid w:val="7B32562D"/>
    <w:rsid w:val="7B346CFF"/>
    <w:rsid w:val="7B38234C"/>
    <w:rsid w:val="7B3C6A02"/>
    <w:rsid w:val="7B3D7962"/>
    <w:rsid w:val="7B5869DD"/>
    <w:rsid w:val="7B597C31"/>
    <w:rsid w:val="7B68007C"/>
    <w:rsid w:val="7B686D42"/>
    <w:rsid w:val="7B6A23D6"/>
    <w:rsid w:val="7B6A439D"/>
    <w:rsid w:val="7B6A6334"/>
    <w:rsid w:val="7B6E0463"/>
    <w:rsid w:val="7B787EF2"/>
    <w:rsid w:val="7B8170C1"/>
    <w:rsid w:val="7B841746"/>
    <w:rsid w:val="7B84548A"/>
    <w:rsid w:val="7B933A26"/>
    <w:rsid w:val="7B9D6653"/>
    <w:rsid w:val="7B9F350A"/>
    <w:rsid w:val="7BA95648"/>
    <w:rsid w:val="7BBE037C"/>
    <w:rsid w:val="7BC65BA9"/>
    <w:rsid w:val="7BCF50D1"/>
    <w:rsid w:val="7BD858DD"/>
    <w:rsid w:val="7BEB1AB4"/>
    <w:rsid w:val="7BEC1933"/>
    <w:rsid w:val="7BF16320"/>
    <w:rsid w:val="7BF5023D"/>
    <w:rsid w:val="7BF5613A"/>
    <w:rsid w:val="7C020833"/>
    <w:rsid w:val="7C086445"/>
    <w:rsid w:val="7C0A2C75"/>
    <w:rsid w:val="7C0B180E"/>
    <w:rsid w:val="7C0B2B36"/>
    <w:rsid w:val="7C0B7EEE"/>
    <w:rsid w:val="7C10151B"/>
    <w:rsid w:val="7C142DB9"/>
    <w:rsid w:val="7C152A1C"/>
    <w:rsid w:val="7C1A4147"/>
    <w:rsid w:val="7C1B3FEB"/>
    <w:rsid w:val="7C255E35"/>
    <w:rsid w:val="7C2F4ACB"/>
    <w:rsid w:val="7C343A88"/>
    <w:rsid w:val="7C4071CB"/>
    <w:rsid w:val="7C440E4A"/>
    <w:rsid w:val="7C445DCC"/>
    <w:rsid w:val="7C460A98"/>
    <w:rsid w:val="7C47083B"/>
    <w:rsid w:val="7C4F41FE"/>
    <w:rsid w:val="7C511F34"/>
    <w:rsid w:val="7C526AE6"/>
    <w:rsid w:val="7C532786"/>
    <w:rsid w:val="7C592D48"/>
    <w:rsid w:val="7C594C70"/>
    <w:rsid w:val="7C5D6EB3"/>
    <w:rsid w:val="7C5E5077"/>
    <w:rsid w:val="7C5E6564"/>
    <w:rsid w:val="7C6412B4"/>
    <w:rsid w:val="7C674BEB"/>
    <w:rsid w:val="7C6B1324"/>
    <w:rsid w:val="7C6C5AC7"/>
    <w:rsid w:val="7C6D276D"/>
    <w:rsid w:val="7C792C1C"/>
    <w:rsid w:val="7C7C6669"/>
    <w:rsid w:val="7C7E0232"/>
    <w:rsid w:val="7C815F74"/>
    <w:rsid w:val="7C871F05"/>
    <w:rsid w:val="7C8B0BA1"/>
    <w:rsid w:val="7C8D45FB"/>
    <w:rsid w:val="7C977C5B"/>
    <w:rsid w:val="7C9804B6"/>
    <w:rsid w:val="7CA0335B"/>
    <w:rsid w:val="7CA53914"/>
    <w:rsid w:val="7CA81246"/>
    <w:rsid w:val="7CB2612E"/>
    <w:rsid w:val="7CB41EA6"/>
    <w:rsid w:val="7CB63E70"/>
    <w:rsid w:val="7CB72E52"/>
    <w:rsid w:val="7CBA2277"/>
    <w:rsid w:val="7CBB5E30"/>
    <w:rsid w:val="7CC3033B"/>
    <w:rsid w:val="7CC6544B"/>
    <w:rsid w:val="7CCF65D9"/>
    <w:rsid w:val="7CD10A13"/>
    <w:rsid w:val="7CD20E9E"/>
    <w:rsid w:val="7CD77BC0"/>
    <w:rsid w:val="7CDE5038"/>
    <w:rsid w:val="7CE02C9B"/>
    <w:rsid w:val="7CE13141"/>
    <w:rsid w:val="7CE22FF2"/>
    <w:rsid w:val="7CE3674D"/>
    <w:rsid w:val="7CEC4E3C"/>
    <w:rsid w:val="7CF44998"/>
    <w:rsid w:val="7CFD1A00"/>
    <w:rsid w:val="7D020E63"/>
    <w:rsid w:val="7D0239FF"/>
    <w:rsid w:val="7D07048E"/>
    <w:rsid w:val="7D0976E5"/>
    <w:rsid w:val="7D1678F2"/>
    <w:rsid w:val="7D1D1FC3"/>
    <w:rsid w:val="7D20578D"/>
    <w:rsid w:val="7D23702C"/>
    <w:rsid w:val="7D3511CF"/>
    <w:rsid w:val="7D3E348E"/>
    <w:rsid w:val="7D3E3E65"/>
    <w:rsid w:val="7D3F20B7"/>
    <w:rsid w:val="7D40198C"/>
    <w:rsid w:val="7D423956"/>
    <w:rsid w:val="7D452F5A"/>
    <w:rsid w:val="7D4A45B8"/>
    <w:rsid w:val="7D4B22B0"/>
    <w:rsid w:val="7D4E3A31"/>
    <w:rsid w:val="7D575A6A"/>
    <w:rsid w:val="7D5947FB"/>
    <w:rsid w:val="7D5B508D"/>
    <w:rsid w:val="7D5D0F83"/>
    <w:rsid w:val="7D5E0064"/>
    <w:rsid w:val="7D5E40CD"/>
    <w:rsid w:val="7D60202E"/>
    <w:rsid w:val="7D623060"/>
    <w:rsid w:val="7D6513F2"/>
    <w:rsid w:val="7D6733BC"/>
    <w:rsid w:val="7D674C73"/>
    <w:rsid w:val="7D6B68E9"/>
    <w:rsid w:val="7D6C09D3"/>
    <w:rsid w:val="7D6E7307"/>
    <w:rsid w:val="7D6F207B"/>
    <w:rsid w:val="7D7653AD"/>
    <w:rsid w:val="7D7771B1"/>
    <w:rsid w:val="7D781125"/>
    <w:rsid w:val="7D7E3EE3"/>
    <w:rsid w:val="7D8201F6"/>
    <w:rsid w:val="7D862626"/>
    <w:rsid w:val="7D8C3C8C"/>
    <w:rsid w:val="7D925F32"/>
    <w:rsid w:val="7D935F5F"/>
    <w:rsid w:val="7D985324"/>
    <w:rsid w:val="7D9F66B2"/>
    <w:rsid w:val="7DAD7E1A"/>
    <w:rsid w:val="7DB5051B"/>
    <w:rsid w:val="7DB537B7"/>
    <w:rsid w:val="7DBB7297"/>
    <w:rsid w:val="7DC10F1D"/>
    <w:rsid w:val="7DC23643"/>
    <w:rsid w:val="7DC73E5B"/>
    <w:rsid w:val="7DC97BD3"/>
    <w:rsid w:val="7DCA74A7"/>
    <w:rsid w:val="7DCD56F2"/>
    <w:rsid w:val="7DD40E32"/>
    <w:rsid w:val="7DDD3338"/>
    <w:rsid w:val="7DE67F14"/>
    <w:rsid w:val="7DEA125D"/>
    <w:rsid w:val="7DED7988"/>
    <w:rsid w:val="7DEE13E8"/>
    <w:rsid w:val="7DEE3196"/>
    <w:rsid w:val="7DF64AC9"/>
    <w:rsid w:val="7DFF080D"/>
    <w:rsid w:val="7E0155BF"/>
    <w:rsid w:val="7E067E90"/>
    <w:rsid w:val="7E0B6D14"/>
    <w:rsid w:val="7E0E62A5"/>
    <w:rsid w:val="7E1013D9"/>
    <w:rsid w:val="7E154BC6"/>
    <w:rsid w:val="7E160E03"/>
    <w:rsid w:val="7E1A042F"/>
    <w:rsid w:val="7E1F77F3"/>
    <w:rsid w:val="7E221091"/>
    <w:rsid w:val="7E2C3CBE"/>
    <w:rsid w:val="7E2E0A29"/>
    <w:rsid w:val="7E327526"/>
    <w:rsid w:val="7E353F9E"/>
    <w:rsid w:val="7E3A574E"/>
    <w:rsid w:val="7E3C7357"/>
    <w:rsid w:val="7E4C610E"/>
    <w:rsid w:val="7E4F632A"/>
    <w:rsid w:val="7E5319F1"/>
    <w:rsid w:val="7E5356EF"/>
    <w:rsid w:val="7E561669"/>
    <w:rsid w:val="7E597848"/>
    <w:rsid w:val="7E681EA0"/>
    <w:rsid w:val="7E6A237E"/>
    <w:rsid w:val="7E725B75"/>
    <w:rsid w:val="7E7A2C7B"/>
    <w:rsid w:val="7E7F09FA"/>
    <w:rsid w:val="7E865390"/>
    <w:rsid w:val="7E8B4E88"/>
    <w:rsid w:val="7E8F3B93"/>
    <w:rsid w:val="7E927FC5"/>
    <w:rsid w:val="7E9957F7"/>
    <w:rsid w:val="7E9E696A"/>
    <w:rsid w:val="7EA5419C"/>
    <w:rsid w:val="7EA90EC9"/>
    <w:rsid w:val="7EAB0431"/>
    <w:rsid w:val="7EAB37A7"/>
    <w:rsid w:val="7EAD5490"/>
    <w:rsid w:val="7EB45671"/>
    <w:rsid w:val="7EB740C5"/>
    <w:rsid w:val="7EB761FF"/>
    <w:rsid w:val="7EB919F5"/>
    <w:rsid w:val="7EBD6FF1"/>
    <w:rsid w:val="7EC0524B"/>
    <w:rsid w:val="7ECB4EE7"/>
    <w:rsid w:val="7ECE648D"/>
    <w:rsid w:val="7ECE7C03"/>
    <w:rsid w:val="7ED56104"/>
    <w:rsid w:val="7ED65147"/>
    <w:rsid w:val="7ED856B4"/>
    <w:rsid w:val="7ED859FA"/>
    <w:rsid w:val="7EE145A8"/>
    <w:rsid w:val="7EF96D50"/>
    <w:rsid w:val="7EFD0E3C"/>
    <w:rsid w:val="7EFE57DB"/>
    <w:rsid w:val="7F001CE7"/>
    <w:rsid w:val="7F054C3B"/>
    <w:rsid w:val="7F062761"/>
    <w:rsid w:val="7F0A7734"/>
    <w:rsid w:val="7F0E43EC"/>
    <w:rsid w:val="7F0F5AB9"/>
    <w:rsid w:val="7F246ADE"/>
    <w:rsid w:val="7F2568A6"/>
    <w:rsid w:val="7F2A20C6"/>
    <w:rsid w:val="7F323556"/>
    <w:rsid w:val="7F354965"/>
    <w:rsid w:val="7F3B68AE"/>
    <w:rsid w:val="7F440F70"/>
    <w:rsid w:val="7F4A43F3"/>
    <w:rsid w:val="7F4D213E"/>
    <w:rsid w:val="7F4E5FDC"/>
    <w:rsid w:val="7F556E45"/>
    <w:rsid w:val="7F5748C3"/>
    <w:rsid w:val="7F606FAC"/>
    <w:rsid w:val="7F631961"/>
    <w:rsid w:val="7F6A0F42"/>
    <w:rsid w:val="7F6C6A68"/>
    <w:rsid w:val="7F710A1D"/>
    <w:rsid w:val="7F7401BA"/>
    <w:rsid w:val="7F81186A"/>
    <w:rsid w:val="7F875650"/>
    <w:rsid w:val="7F93683F"/>
    <w:rsid w:val="7F9E10DF"/>
    <w:rsid w:val="7F9E2999"/>
    <w:rsid w:val="7FA0495C"/>
    <w:rsid w:val="7FA44454"/>
    <w:rsid w:val="7FA75CF2"/>
    <w:rsid w:val="7FB421BD"/>
    <w:rsid w:val="7FB52E92"/>
    <w:rsid w:val="7FBA26DD"/>
    <w:rsid w:val="7FBB354B"/>
    <w:rsid w:val="7FC40652"/>
    <w:rsid w:val="7FC5261C"/>
    <w:rsid w:val="7FC93EBA"/>
    <w:rsid w:val="7FCC2378"/>
    <w:rsid w:val="7FCF2EBB"/>
    <w:rsid w:val="7FD03E0D"/>
    <w:rsid w:val="7FD34D39"/>
    <w:rsid w:val="7FD35724"/>
    <w:rsid w:val="7FD37B52"/>
    <w:rsid w:val="7FD86786"/>
    <w:rsid w:val="7FDC7904"/>
    <w:rsid w:val="7FE47E50"/>
    <w:rsid w:val="7FF33066"/>
    <w:rsid w:val="7FF66DE1"/>
    <w:rsid w:val="7FFA0518"/>
    <w:rsid w:val="7FFA71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qFormat="1"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name="toa heading" w:locked="1"/>
    <w:lsdException w:qFormat="1"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sz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4"/>
    <w:autoRedefine/>
    <w:qFormat/>
    <w:locked/>
    <w:uiPriority w:val="0"/>
    <w:pPr>
      <w:keepNext/>
      <w:widowControl/>
      <w:spacing w:line="360" w:lineRule="auto"/>
      <w:jc w:val="left"/>
      <w:outlineLvl w:val="1"/>
    </w:pPr>
  </w:style>
  <w:style w:type="paragraph" w:styleId="6">
    <w:name w:val="heading 3"/>
    <w:basedOn w:val="1"/>
    <w:next w:val="1"/>
    <w:autoRedefine/>
    <w:qFormat/>
    <w:locked/>
    <w:uiPriority w:val="0"/>
    <w:pPr>
      <w:keepNext/>
      <w:keepLines/>
      <w:spacing w:before="260" w:after="260" w:line="416" w:lineRule="auto"/>
      <w:outlineLvl w:val="2"/>
    </w:pPr>
    <w:rPr>
      <w:b/>
      <w:bCs/>
      <w:sz w:val="32"/>
      <w:szCs w:val="32"/>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5"/>
    <w:autoRedefine/>
    <w:qFormat/>
    <w:locked/>
    <w:uiPriority w:val="0"/>
    <w:pPr>
      <w:ind w:firstLine="420"/>
    </w:pPr>
  </w:style>
  <w:style w:type="paragraph" w:styleId="5">
    <w:name w:val="toc 1"/>
    <w:basedOn w:val="1"/>
    <w:next w:val="1"/>
    <w:autoRedefine/>
    <w:unhideWhenUsed/>
    <w:qFormat/>
    <w:locked/>
    <w:uiPriority w:val="39"/>
    <w:pPr>
      <w:spacing w:before="120" w:after="120"/>
      <w:jc w:val="left"/>
    </w:pPr>
    <w:rPr>
      <w:rFonts w:ascii="Calibri" w:hAnsi="Calibri"/>
      <w:b/>
      <w:bCs/>
      <w:caps/>
      <w:sz w:val="20"/>
    </w:rPr>
  </w:style>
  <w:style w:type="paragraph" w:styleId="7">
    <w:name w:val="caption"/>
    <w:basedOn w:val="1"/>
    <w:next w:val="1"/>
    <w:qFormat/>
    <w:locked/>
    <w:uiPriority w:val="0"/>
    <w:rPr>
      <w:rFonts w:ascii="等线 Light" w:hAnsi="等线 Light" w:eastAsia="黑体"/>
    </w:rPr>
  </w:style>
  <w:style w:type="paragraph" w:styleId="8">
    <w:name w:val="toa heading"/>
    <w:basedOn w:val="1"/>
    <w:next w:val="1"/>
    <w:semiHidden/>
    <w:qFormat/>
    <w:locked/>
    <w:uiPriority w:val="0"/>
    <w:pPr>
      <w:spacing w:before="120"/>
    </w:pPr>
    <w:rPr>
      <w:rFonts w:ascii="Arial" w:hAnsi="Arial" w:cs="Arial"/>
    </w:rPr>
  </w:style>
  <w:style w:type="paragraph" w:styleId="9">
    <w:name w:val="annotation text"/>
    <w:basedOn w:val="1"/>
    <w:link w:val="43"/>
    <w:autoRedefine/>
    <w:semiHidden/>
    <w:qFormat/>
    <w:uiPriority w:val="0"/>
    <w:pPr>
      <w:jc w:val="left"/>
    </w:pPr>
  </w:style>
  <w:style w:type="paragraph" w:styleId="10">
    <w:name w:val="index 6"/>
    <w:basedOn w:val="1"/>
    <w:next w:val="1"/>
    <w:autoRedefine/>
    <w:qFormat/>
    <w:locked/>
    <w:uiPriority w:val="0"/>
    <w:pPr>
      <w:adjustRightInd w:val="0"/>
      <w:snapToGrid w:val="0"/>
      <w:spacing w:line="300" w:lineRule="auto"/>
      <w:ind w:left="1000" w:leftChars="1000"/>
    </w:pPr>
    <w:rPr>
      <w:rFonts w:ascii="宋体" w:hAnsi="宋体"/>
      <w:sz w:val="28"/>
    </w:rPr>
  </w:style>
  <w:style w:type="paragraph" w:styleId="11">
    <w:name w:val="Body Text 3"/>
    <w:basedOn w:val="1"/>
    <w:qFormat/>
    <w:locked/>
    <w:uiPriority w:val="0"/>
    <w:pPr>
      <w:spacing w:line="360" w:lineRule="auto"/>
      <w:ind w:firstLine="640" w:firstLineChars="200"/>
    </w:pPr>
    <w:rPr>
      <w:sz w:val="24"/>
      <w:szCs w:val="16"/>
    </w:rPr>
  </w:style>
  <w:style w:type="paragraph" w:styleId="12">
    <w:name w:val="Body Text"/>
    <w:basedOn w:val="1"/>
    <w:next w:val="13"/>
    <w:link w:val="44"/>
    <w:autoRedefine/>
    <w:qFormat/>
    <w:uiPriority w:val="0"/>
    <w:pPr>
      <w:widowControl/>
      <w:snapToGrid w:val="0"/>
      <w:spacing w:before="60" w:after="160" w:line="259" w:lineRule="auto"/>
      <w:ind w:right="113"/>
    </w:pPr>
    <w:rPr>
      <w:sz w:val="18"/>
    </w:rPr>
  </w:style>
  <w:style w:type="paragraph" w:styleId="13">
    <w:name w:val="List Bullet 5"/>
    <w:basedOn w:val="1"/>
    <w:qFormat/>
    <w:locked/>
    <w:uiPriority w:val="0"/>
    <w:pPr>
      <w:tabs>
        <w:tab w:val="left" w:pos="2040"/>
      </w:tabs>
      <w:ind w:left="2040" w:hanging="360"/>
    </w:pPr>
  </w:style>
  <w:style w:type="paragraph" w:styleId="14">
    <w:name w:val="Body Text Indent"/>
    <w:basedOn w:val="1"/>
    <w:next w:val="15"/>
    <w:link w:val="45"/>
    <w:autoRedefine/>
    <w:qFormat/>
    <w:uiPriority w:val="0"/>
    <w:pPr>
      <w:spacing w:after="120"/>
      <w:ind w:left="420" w:leftChars="200"/>
    </w:pPr>
  </w:style>
  <w:style w:type="paragraph" w:styleId="15">
    <w:name w:val="Body Text Indent 2"/>
    <w:basedOn w:val="1"/>
    <w:next w:val="8"/>
    <w:qFormat/>
    <w:locked/>
    <w:uiPriority w:val="0"/>
    <w:pPr>
      <w:spacing w:line="420" w:lineRule="exact"/>
      <w:ind w:firstLine="480" w:firstLineChars="200"/>
    </w:pPr>
    <w:rPr>
      <w:rFonts w:ascii="宋体" w:hAnsi="宋体"/>
    </w:rPr>
  </w:style>
  <w:style w:type="paragraph" w:styleId="16">
    <w:name w:val="Block Text"/>
    <w:basedOn w:val="1"/>
    <w:next w:val="1"/>
    <w:autoRedefine/>
    <w:qFormat/>
    <w:locked/>
    <w:uiPriority w:val="0"/>
    <w:pPr>
      <w:spacing w:line="360" w:lineRule="auto"/>
    </w:pPr>
    <w:rPr>
      <w:szCs w:val="22"/>
    </w:rPr>
  </w:style>
  <w:style w:type="paragraph" w:styleId="17">
    <w:name w:val="Plain Text"/>
    <w:basedOn w:val="1"/>
    <w:autoRedefine/>
    <w:qFormat/>
    <w:locked/>
    <w:uiPriority w:val="0"/>
    <w:rPr>
      <w:rFonts w:ascii="宋体" w:hAnsi="Courier New"/>
      <w:b/>
      <w:kern w:val="32"/>
    </w:rPr>
  </w:style>
  <w:style w:type="paragraph" w:styleId="18">
    <w:name w:val="Date"/>
    <w:basedOn w:val="1"/>
    <w:next w:val="1"/>
    <w:link w:val="46"/>
    <w:autoRedefine/>
    <w:qFormat/>
    <w:uiPriority w:val="0"/>
    <w:pPr>
      <w:ind w:left="100" w:leftChars="2500"/>
    </w:pPr>
  </w:style>
  <w:style w:type="paragraph" w:styleId="19">
    <w:name w:val="Balloon Text"/>
    <w:basedOn w:val="1"/>
    <w:link w:val="47"/>
    <w:autoRedefine/>
    <w:semiHidden/>
    <w:qFormat/>
    <w:uiPriority w:val="0"/>
    <w:rPr>
      <w:sz w:val="18"/>
    </w:rPr>
  </w:style>
  <w:style w:type="paragraph" w:styleId="20">
    <w:name w:val="footer"/>
    <w:basedOn w:val="1"/>
    <w:link w:val="48"/>
    <w:qFormat/>
    <w:uiPriority w:val="99"/>
    <w:pPr>
      <w:tabs>
        <w:tab w:val="center" w:pos="4153"/>
        <w:tab w:val="right" w:pos="8306"/>
      </w:tabs>
      <w:snapToGrid w:val="0"/>
      <w:jc w:val="left"/>
    </w:pPr>
    <w:rPr>
      <w:sz w:val="18"/>
    </w:rPr>
  </w:style>
  <w:style w:type="paragraph" w:styleId="21">
    <w:name w:val="header"/>
    <w:basedOn w:val="1"/>
    <w:link w:val="49"/>
    <w:qFormat/>
    <w:uiPriority w:val="0"/>
    <w:pPr>
      <w:pBdr>
        <w:bottom w:val="single" w:color="auto" w:sz="6" w:space="1"/>
      </w:pBdr>
      <w:tabs>
        <w:tab w:val="center" w:pos="4153"/>
        <w:tab w:val="right" w:pos="8306"/>
      </w:tabs>
      <w:snapToGrid w:val="0"/>
      <w:jc w:val="center"/>
    </w:pPr>
    <w:rPr>
      <w:sz w:val="18"/>
    </w:rPr>
  </w:style>
  <w:style w:type="paragraph" w:styleId="22">
    <w:name w:val="List"/>
    <w:basedOn w:val="1"/>
    <w:unhideWhenUsed/>
    <w:qFormat/>
    <w:locked/>
    <w:uiPriority w:val="0"/>
    <w:pPr>
      <w:ind w:left="200" w:hanging="200" w:hangingChars="200"/>
      <w:contextualSpacing/>
    </w:pPr>
    <w:rPr>
      <w:kern w:val="2"/>
      <w:sz w:val="28"/>
    </w:rPr>
  </w:style>
  <w:style w:type="paragraph" w:styleId="23">
    <w:name w:val="table of figures"/>
    <w:basedOn w:val="1"/>
    <w:next w:val="1"/>
    <w:unhideWhenUsed/>
    <w:qFormat/>
    <w:locked/>
    <w:uiPriority w:val="99"/>
    <w:pPr>
      <w:ind w:left="200" w:leftChars="200" w:hanging="200" w:hangingChars="200"/>
    </w:pPr>
  </w:style>
  <w:style w:type="paragraph" w:styleId="24">
    <w:name w:val="toc 2"/>
    <w:basedOn w:val="1"/>
    <w:next w:val="1"/>
    <w:qFormat/>
    <w:locked/>
    <w:uiPriority w:val="39"/>
    <w:pPr>
      <w:ind w:left="420" w:leftChars="200"/>
    </w:pPr>
  </w:style>
  <w:style w:type="paragraph" w:styleId="25">
    <w:name w:val="Normal (Web)"/>
    <w:basedOn w:val="1"/>
    <w:link w:val="50"/>
    <w:qFormat/>
    <w:uiPriority w:val="0"/>
    <w:pPr>
      <w:widowControl/>
      <w:spacing w:before="100" w:beforeAutospacing="1" w:after="100" w:afterAutospacing="1"/>
      <w:jc w:val="left"/>
    </w:pPr>
    <w:rPr>
      <w:rFonts w:ascii="宋体" w:hAnsi="宋体"/>
    </w:rPr>
  </w:style>
  <w:style w:type="paragraph" w:styleId="26">
    <w:name w:val="annotation subject"/>
    <w:basedOn w:val="9"/>
    <w:next w:val="9"/>
    <w:link w:val="51"/>
    <w:semiHidden/>
    <w:qFormat/>
    <w:uiPriority w:val="0"/>
    <w:rPr>
      <w:b/>
      <w:kern w:val="2"/>
    </w:rPr>
  </w:style>
  <w:style w:type="paragraph" w:styleId="27">
    <w:name w:val="Body Text First Indent"/>
    <w:basedOn w:val="12"/>
    <w:next w:val="1"/>
    <w:qFormat/>
    <w:locked/>
    <w:uiPriority w:val="99"/>
    <w:pPr>
      <w:ind w:firstLine="420" w:firstLineChars="100"/>
    </w:pPr>
  </w:style>
  <w:style w:type="paragraph" w:styleId="28">
    <w:name w:val="Body Text First Indent 2"/>
    <w:basedOn w:val="14"/>
    <w:next w:val="1"/>
    <w:qFormat/>
    <w:locked/>
    <w:uiPriority w:val="0"/>
    <w:pPr>
      <w:adjustRightInd w:val="0"/>
      <w:snapToGrid w:val="0"/>
      <w:spacing w:line="312" w:lineRule="auto"/>
      <w:ind w:firstLine="567"/>
      <w:textAlignment w:val="baseline"/>
    </w:pPr>
    <w:rPr>
      <w:rFonts w:ascii="Arial" w:hAnsi="Arial"/>
      <w:snapToGrid w:val="0"/>
      <w:spacing w:val="6"/>
      <w:sz w:val="28"/>
    </w:rPr>
  </w:style>
  <w:style w:type="table" w:styleId="30">
    <w:name w:val="Table Grid"/>
    <w:basedOn w:val="2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locked/>
    <w:uiPriority w:val="0"/>
    <w:rPr>
      <w:b/>
    </w:rPr>
  </w:style>
  <w:style w:type="character" w:styleId="33">
    <w:name w:val="page number"/>
    <w:autoRedefine/>
    <w:qFormat/>
    <w:locked/>
    <w:uiPriority w:val="0"/>
  </w:style>
  <w:style w:type="character" w:styleId="34">
    <w:name w:val="annotation reference"/>
    <w:autoRedefine/>
    <w:semiHidden/>
    <w:qFormat/>
    <w:uiPriority w:val="0"/>
    <w:rPr>
      <w:sz w:val="21"/>
    </w:rPr>
  </w:style>
  <w:style w:type="paragraph" w:customStyle="1" w:styleId="35">
    <w:name w:val="样式3"/>
    <w:basedOn w:val="36"/>
    <w:autoRedefine/>
    <w:qFormat/>
    <w:uiPriority w:val="99"/>
  </w:style>
  <w:style w:type="paragraph" w:customStyle="1" w:styleId="36">
    <w:name w:val="表格内容"/>
    <w:basedOn w:val="1"/>
    <w:autoRedefine/>
    <w:qFormat/>
    <w:uiPriority w:val="0"/>
    <w:pPr>
      <w:jc w:val="center"/>
    </w:pPr>
    <w:rPr>
      <w:color w:val="000000"/>
      <w:sz w:val="21"/>
    </w:rPr>
  </w:style>
  <w:style w:type="paragraph" w:customStyle="1" w:styleId="37">
    <w:name w:val="Char Char Char Char Char Char Char Char Char1 Char"/>
    <w:basedOn w:val="1"/>
    <w:next w:val="38"/>
    <w:qFormat/>
    <w:uiPriority w:val="0"/>
    <w:rPr>
      <w:rFonts w:ascii="宋体" w:hAnsi="宋体" w:cs="宋体"/>
      <w:szCs w:val="24"/>
    </w:rPr>
  </w:style>
  <w:style w:type="paragraph" w:customStyle="1" w:styleId="38">
    <w:name w:val="Body Text First Indent1"/>
    <w:next w:val="1"/>
    <w:autoRedefine/>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39">
    <w:name w:val="样式 样式 样式 四号 左侧:  1.53 厘米 + 首行缩进:  2 字符 + 居中 左侧:  2 字符 首行缩进:  2..."/>
    <w:basedOn w:val="40"/>
    <w:autoRedefine/>
    <w:qFormat/>
    <w:uiPriority w:val="0"/>
    <w:pPr>
      <w:jc w:val="center"/>
    </w:pPr>
  </w:style>
  <w:style w:type="paragraph" w:customStyle="1" w:styleId="40">
    <w:name w:val="样式 样式 四号 左侧:  1.53 厘米 + 首行缩进:  2 字符"/>
    <w:basedOn w:val="41"/>
    <w:autoRedefine/>
    <w:qFormat/>
    <w:uiPriority w:val="0"/>
    <w:pPr>
      <w:ind w:left="200" w:leftChars="200"/>
    </w:pPr>
    <w:rPr>
      <w:szCs w:val="20"/>
    </w:rPr>
  </w:style>
  <w:style w:type="paragraph" w:customStyle="1" w:styleId="41">
    <w:name w:val="样式 四号 左侧:  1.53 厘米"/>
    <w:basedOn w:val="1"/>
    <w:qFormat/>
    <w:uiPriority w:val="0"/>
    <w:pPr>
      <w:adjustRightInd w:val="0"/>
    </w:pPr>
    <w:rPr>
      <w:w w:val="90"/>
      <w:sz w:val="28"/>
      <w:szCs w:val="28"/>
    </w:rPr>
  </w:style>
  <w:style w:type="paragraph" w:customStyle="1" w:styleId="42">
    <w:name w:val="首行缩进"/>
    <w:basedOn w:val="1"/>
    <w:autoRedefine/>
    <w:qFormat/>
    <w:uiPriority w:val="0"/>
    <w:pPr>
      <w:spacing w:line="360" w:lineRule="auto"/>
      <w:ind w:firstLine="200" w:firstLineChars="200"/>
    </w:pPr>
    <w:rPr>
      <w:rFonts w:ascii="Calibri" w:hAnsi="Calibri"/>
      <w:szCs w:val="21"/>
    </w:rPr>
  </w:style>
  <w:style w:type="character" w:customStyle="1" w:styleId="43">
    <w:name w:val="批注文字 字符"/>
    <w:link w:val="9"/>
    <w:autoRedefine/>
    <w:qFormat/>
    <w:locked/>
    <w:uiPriority w:val="0"/>
    <w:rPr>
      <w:rFonts w:ascii="Times New Roman" w:hAnsi="Times New Roman" w:eastAsia="宋体"/>
      <w:sz w:val="24"/>
    </w:rPr>
  </w:style>
  <w:style w:type="character" w:customStyle="1" w:styleId="44">
    <w:name w:val="正文文本 字符"/>
    <w:link w:val="12"/>
    <w:autoRedefine/>
    <w:qFormat/>
    <w:locked/>
    <w:uiPriority w:val="0"/>
    <w:rPr>
      <w:sz w:val="18"/>
    </w:rPr>
  </w:style>
  <w:style w:type="character" w:customStyle="1" w:styleId="45">
    <w:name w:val="正文文本缩进 字符"/>
    <w:link w:val="14"/>
    <w:autoRedefine/>
    <w:semiHidden/>
    <w:qFormat/>
    <w:locked/>
    <w:uiPriority w:val="0"/>
    <w:rPr>
      <w:rFonts w:ascii="Times New Roman" w:hAnsi="Times New Roman" w:eastAsia="宋体"/>
      <w:sz w:val="24"/>
    </w:rPr>
  </w:style>
  <w:style w:type="character" w:customStyle="1" w:styleId="46">
    <w:name w:val="日期 字符1"/>
    <w:link w:val="18"/>
    <w:autoRedefine/>
    <w:qFormat/>
    <w:locked/>
    <w:uiPriority w:val="0"/>
    <w:rPr>
      <w:rFonts w:ascii="Times New Roman" w:hAnsi="Times New Roman" w:eastAsia="宋体"/>
      <w:sz w:val="24"/>
    </w:rPr>
  </w:style>
  <w:style w:type="character" w:customStyle="1" w:styleId="47">
    <w:name w:val="批注框文本 字符"/>
    <w:link w:val="19"/>
    <w:autoRedefine/>
    <w:semiHidden/>
    <w:qFormat/>
    <w:locked/>
    <w:uiPriority w:val="0"/>
    <w:rPr>
      <w:rFonts w:ascii="Times New Roman" w:hAnsi="Times New Roman" w:eastAsia="宋体"/>
      <w:sz w:val="18"/>
    </w:rPr>
  </w:style>
  <w:style w:type="character" w:customStyle="1" w:styleId="48">
    <w:name w:val="页脚 字符1"/>
    <w:link w:val="20"/>
    <w:autoRedefine/>
    <w:qFormat/>
    <w:locked/>
    <w:uiPriority w:val="99"/>
    <w:rPr>
      <w:sz w:val="18"/>
    </w:rPr>
  </w:style>
  <w:style w:type="character" w:customStyle="1" w:styleId="49">
    <w:name w:val="页眉 字符"/>
    <w:link w:val="21"/>
    <w:autoRedefine/>
    <w:qFormat/>
    <w:locked/>
    <w:uiPriority w:val="0"/>
    <w:rPr>
      <w:sz w:val="18"/>
    </w:rPr>
  </w:style>
  <w:style w:type="character" w:customStyle="1" w:styleId="50">
    <w:name w:val="普通(网站) 字符"/>
    <w:link w:val="25"/>
    <w:autoRedefine/>
    <w:qFormat/>
    <w:locked/>
    <w:uiPriority w:val="0"/>
    <w:rPr>
      <w:rFonts w:ascii="宋体" w:hAnsi="宋体" w:eastAsia="宋体"/>
      <w:sz w:val="24"/>
    </w:rPr>
  </w:style>
  <w:style w:type="character" w:customStyle="1" w:styleId="51">
    <w:name w:val="批注主题 字符"/>
    <w:link w:val="26"/>
    <w:autoRedefine/>
    <w:semiHidden/>
    <w:qFormat/>
    <w:locked/>
    <w:uiPriority w:val="0"/>
    <w:rPr>
      <w:rFonts w:ascii="Times New Roman" w:hAnsi="Times New Roman" w:eastAsia="宋体"/>
      <w:b/>
      <w:kern w:val="2"/>
      <w:sz w:val="24"/>
    </w:rPr>
  </w:style>
  <w:style w:type="character" w:customStyle="1" w:styleId="52">
    <w:name w:val="表格下一段 首行 字符"/>
    <w:link w:val="53"/>
    <w:autoRedefine/>
    <w:qFormat/>
    <w:uiPriority w:val="0"/>
  </w:style>
  <w:style w:type="paragraph" w:customStyle="1" w:styleId="53">
    <w:name w:val="表格下一段 首行"/>
    <w:basedOn w:val="12"/>
    <w:link w:val="52"/>
    <w:autoRedefine/>
    <w:qFormat/>
    <w:uiPriority w:val="0"/>
    <w:pPr>
      <w:spacing w:beforeLines="100"/>
    </w:pPr>
  </w:style>
  <w:style w:type="character" w:customStyle="1" w:styleId="54">
    <w:name w:val="fontstyle01"/>
    <w:basedOn w:val="31"/>
    <w:autoRedefine/>
    <w:qFormat/>
    <w:uiPriority w:val="0"/>
    <w:rPr>
      <w:rFonts w:hint="eastAsia" w:ascii="宋体" w:hAnsi="宋体" w:eastAsia="宋体"/>
      <w:color w:val="000000"/>
      <w:sz w:val="24"/>
      <w:szCs w:val="24"/>
    </w:rPr>
  </w:style>
  <w:style w:type="character" w:customStyle="1" w:styleId="55">
    <w:name w:val="批注文字 字符1"/>
    <w:autoRedefine/>
    <w:semiHidden/>
    <w:qFormat/>
    <w:uiPriority w:val="0"/>
    <w:rPr>
      <w:rFonts w:ascii="Times New Roman" w:hAnsi="Times New Roman" w:eastAsia="宋体"/>
      <w:sz w:val="24"/>
    </w:rPr>
  </w:style>
  <w:style w:type="character" w:customStyle="1" w:styleId="56">
    <w:name w:val="页脚 字符"/>
    <w:autoRedefine/>
    <w:qFormat/>
    <w:uiPriority w:val="99"/>
  </w:style>
  <w:style w:type="character" w:customStyle="1" w:styleId="57">
    <w:name w:val="报告正文 Char Char Char"/>
    <w:link w:val="58"/>
    <w:autoRedefine/>
    <w:qFormat/>
    <w:locked/>
    <w:uiPriority w:val="0"/>
    <w:rPr>
      <w:kern w:val="0"/>
      <w:sz w:val="24"/>
      <w:szCs w:val="20"/>
    </w:rPr>
  </w:style>
  <w:style w:type="paragraph" w:customStyle="1" w:styleId="58">
    <w:name w:val="报告正文 Char Char"/>
    <w:basedOn w:val="1"/>
    <w:link w:val="57"/>
    <w:autoRedefine/>
    <w:qFormat/>
    <w:uiPriority w:val="0"/>
    <w:pPr>
      <w:wordWrap w:val="0"/>
      <w:adjustRightInd w:val="0"/>
      <w:snapToGrid w:val="0"/>
      <w:spacing w:line="360" w:lineRule="auto"/>
      <w:ind w:firstLine="200" w:firstLineChars="200"/>
    </w:pPr>
  </w:style>
  <w:style w:type="character" w:customStyle="1" w:styleId="59">
    <w:name w:val="表格 Char"/>
    <w:link w:val="60"/>
    <w:autoRedefine/>
    <w:qFormat/>
    <w:locked/>
    <w:uiPriority w:val="0"/>
    <w:rPr>
      <w:rFonts w:ascii="宋体"/>
      <w:sz w:val="21"/>
    </w:rPr>
  </w:style>
  <w:style w:type="paragraph" w:customStyle="1" w:styleId="60">
    <w:name w:val="表格"/>
    <w:basedOn w:val="4"/>
    <w:link w:val="59"/>
    <w:autoRedefine/>
    <w:qFormat/>
    <w:uiPriority w:val="0"/>
    <w:pPr>
      <w:adjustRightInd w:val="0"/>
      <w:snapToGrid w:val="0"/>
      <w:spacing w:beforeLines="10" w:afterLines="10" w:line="259" w:lineRule="auto"/>
      <w:jc w:val="center"/>
    </w:pPr>
    <w:rPr>
      <w:rFonts w:ascii="宋体"/>
      <w:sz w:val="21"/>
    </w:rPr>
  </w:style>
  <w:style w:type="character" w:customStyle="1" w:styleId="61">
    <w:name w:val="日期 字符"/>
    <w:autoRedefine/>
    <w:semiHidden/>
    <w:qFormat/>
    <w:uiPriority w:val="0"/>
    <w:rPr>
      <w:rFonts w:ascii="Times New Roman" w:hAnsi="Times New Roman" w:eastAsia="宋体"/>
      <w:sz w:val="24"/>
    </w:rPr>
  </w:style>
  <w:style w:type="character" w:customStyle="1" w:styleId="62">
    <w:name w:val="1-正文 Char"/>
    <w:autoRedefine/>
    <w:qFormat/>
    <w:uiPriority w:val="0"/>
    <w:rPr>
      <w:rFonts w:ascii="宋体" w:hAnsi="宋体" w:eastAsia="MingLiU" w:cs="MingLiU"/>
      <w:sz w:val="24"/>
      <w:szCs w:val="21"/>
      <w:shd w:val="clear" w:color="auto" w:fill="FFFFFF"/>
    </w:rPr>
  </w:style>
  <w:style w:type="character" w:customStyle="1" w:styleId="63">
    <w:name w:val="正文文本 字符1"/>
    <w:autoRedefine/>
    <w:semiHidden/>
    <w:qFormat/>
    <w:uiPriority w:val="0"/>
    <w:rPr>
      <w:rFonts w:ascii="Times New Roman" w:hAnsi="Times New Roman" w:eastAsia="宋体"/>
      <w:sz w:val="24"/>
    </w:rPr>
  </w:style>
  <w:style w:type="character" w:customStyle="1" w:styleId="64">
    <w:name w:val="列表段落 字符"/>
    <w:link w:val="65"/>
    <w:autoRedefine/>
    <w:qFormat/>
    <w:uiPriority w:val="34"/>
  </w:style>
  <w:style w:type="paragraph" w:styleId="65">
    <w:name w:val="List Paragraph"/>
    <w:basedOn w:val="1"/>
    <w:link w:val="64"/>
    <w:autoRedefine/>
    <w:qFormat/>
    <w:uiPriority w:val="34"/>
    <w:pPr>
      <w:ind w:firstLine="420" w:firstLineChars="200"/>
    </w:pPr>
  </w:style>
  <w:style w:type="paragraph" w:customStyle="1" w:styleId="66">
    <w:name w:val="表头样式1"/>
    <w:basedOn w:val="1"/>
    <w:qFormat/>
    <w:uiPriority w:val="0"/>
    <w:pPr>
      <w:tabs>
        <w:tab w:val="center" w:pos="4505"/>
      </w:tabs>
      <w:jc w:val="center"/>
    </w:pPr>
    <w:rPr>
      <w:b/>
    </w:rPr>
  </w:style>
  <w:style w:type="paragraph" w:customStyle="1" w:styleId="67">
    <w:name w:val="中文报告书样式"/>
    <w:basedOn w:val="1"/>
    <w:autoRedefine/>
    <w:qFormat/>
    <w:uiPriority w:val="0"/>
    <w:pPr>
      <w:adjustRightInd w:val="0"/>
      <w:spacing w:line="420" w:lineRule="atLeast"/>
      <w:textAlignment w:val="baseline"/>
    </w:pPr>
    <w:rPr>
      <w:kern w:val="24"/>
    </w:rPr>
  </w:style>
  <w:style w:type="paragraph" w:customStyle="1" w:styleId="68">
    <w:name w:val="正文表标题"/>
    <w:next w:val="1"/>
    <w:autoRedefine/>
    <w:qFormat/>
    <w:uiPriority w:val="0"/>
    <w:pPr>
      <w:wordWrap w:val="0"/>
      <w:snapToGrid w:val="0"/>
      <w:spacing w:beforeLines="50"/>
      <w:jc w:val="center"/>
    </w:pPr>
    <w:rPr>
      <w:rFonts w:ascii="黑体" w:hAnsi="黑体" w:eastAsia="黑体" w:cs="Times New Roman"/>
      <w:sz w:val="21"/>
      <w:szCs w:val="21"/>
      <w:lang w:val="en-US" w:eastAsia="zh-CN" w:bidi="ar-SA"/>
    </w:rPr>
  </w:style>
  <w:style w:type="paragraph" w:customStyle="1" w:styleId="69">
    <w:name w:val="正文样式"/>
    <w:basedOn w:val="1"/>
    <w:autoRedefine/>
    <w:qFormat/>
    <w:uiPriority w:val="99"/>
    <w:pPr>
      <w:spacing w:line="360" w:lineRule="auto"/>
      <w:ind w:firstLine="480" w:firstLineChars="200"/>
    </w:pPr>
  </w:style>
  <w:style w:type="paragraph" w:customStyle="1" w:styleId="70">
    <w:name w:val="表格头"/>
    <w:basedOn w:val="1"/>
    <w:qFormat/>
    <w:uiPriority w:val="0"/>
    <w:pPr>
      <w:jc w:val="center"/>
    </w:pPr>
    <w:rPr>
      <w:b/>
      <w:bCs/>
      <w:color w:val="000000"/>
    </w:rPr>
  </w:style>
  <w:style w:type="paragraph" w:customStyle="1" w:styleId="71">
    <w:name w:val="【表格】"/>
    <w:next w:val="1"/>
    <w:autoRedefine/>
    <w:qFormat/>
    <w:uiPriority w:val="0"/>
    <w:pPr>
      <w:spacing w:line="0" w:lineRule="atLeast"/>
      <w:jc w:val="center"/>
    </w:pPr>
    <w:rPr>
      <w:rFonts w:ascii="Times New Roman" w:hAnsi="Times New Roman" w:eastAsia="宋体" w:cs="Times New Roman"/>
      <w:sz w:val="21"/>
      <w:szCs w:val="24"/>
      <w:lang w:val="en-US" w:eastAsia="zh-CN" w:bidi="ar-SA"/>
    </w:rPr>
  </w:style>
  <w:style w:type="paragraph" w:customStyle="1" w:styleId="72">
    <w:name w:val="表格内文字"/>
    <w:basedOn w:val="1"/>
    <w:qFormat/>
    <w:uiPriority w:val="0"/>
    <w:pPr>
      <w:jc w:val="center"/>
    </w:pPr>
    <w:rPr>
      <w:color w:val="000000"/>
    </w:rPr>
  </w:style>
  <w:style w:type="paragraph" w:customStyle="1" w:styleId="73">
    <w:name w:val="报告表正文"/>
    <w:basedOn w:val="1"/>
    <w:autoRedefine/>
    <w:qFormat/>
    <w:uiPriority w:val="0"/>
    <w:pPr>
      <w:adjustRightInd w:val="0"/>
      <w:snapToGrid w:val="0"/>
      <w:spacing w:line="360" w:lineRule="auto"/>
      <w:ind w:firstLine="560" w:firstLineChars="200"/>
    </w:pPr>
  </w:style>
  <w:style w:type="paragraph" w:customStyle="1" w:styleId="74">
    <w:name w:val="报告正文"/>
    <w:basedOn w:val="1"/>
    <w:autoRedefine/>
    <w:qFormat/>
    <w:uiPriority w:val="0"/>
    <w:pPr>
      <w:adjustRightInd w:val="0"/>
      <w:snapToGrid w:val="0"/>
      <w:spacing w:line="480" w:lineRule="exact"/>
      <w:ind w:firstLine="560" w:firstLineChars="200"/>
    </w:pPr>
    <w:rPr>
      <w:sz w:val="28"/>
      <w:szCs w:val="24"/>
    </w:rPr>
  </w:style>
  <w:style w:type="paragraph" w:customStyle="1" w:styleId="75">
    <w:name w:val="msolistparagraph"/>
    <w:basedOn w:val="1"/>
    <w:qFormat/>
    <w:uiPriority w:val="0"/>
    <w:pPr>
      <w:ind w:firstLine="420" w:firstLineChars="200"/>
    </w:pPr>
    <w:rPr>
      <w:szCs w:val="21"/>
    </w:rPr>
  </w:style>
  <w:style w:type="paragraph" w:customStyle="1" w:styleId="76">
    <w:name w:val="Other"/>
    <w:basedOn w:val="1"/>
    <w:autoRedefine/>
    <w:qFormat/>
    <w:uiPriority w:val="0"/>
    <w:pPr>
      <w:shd w:val="clear" w:color="auto" w:fill="FFFFFF"/>
      <w:spacing w:line="425" w:lineRule="auto"/>
      <w:ind w:firstLine="400"/>
    </w:pPr>
    <w:rPr>
      <w:rFonts w:ascii="MingLiU" w:hAnsi="MingLiU" w:eastAsia="MingLiU" w:cs="MingLiU"/>
      <w:sz w:val="44"/>
      <w:szCs w:val="44"/>
      <w:lang w:val="zh-CN" w:bidi="zh-CN"/>
    </w:rPr>
  </w:style>
  <w:style w:type="paragraph" w:customStyle="1" w:styleId="77">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_Style 70"/>
    <w:basedOn w:val="1"/>
    <w:next w:val="65"/>
    <w:autoRedefine/>
    <w:qFormat/>
    <w:uiPriority w:val="34"/>
    <w:pPr>
      <w:ind w:firstLine="420" w:firstLineChars="200"/>
    </w:pPr>
    <w:rPr>
      <w:szCs w:val="21"/>
    </w:rPr>
  </w:style>
  <w:style w:type="paragraph" w:customStyle="1" w:styleId="79">
    <w:name w:val="表头"/>
    <w:basedOn w:val="35"/>
    <w:autoRedefine/>
    <w:qFormat/>
    <w:uiPriority w:val="0"/>
    <w:rPr>
      <w:b/>
      <w:bCs/>
    </w:rPr>
  </w:style>
  <w:style w:type="paragraph" w:customStyle="1" w:styleId="80">
    <w:name w:val="1-正文"/>
    <w:basedOn w:val="17"/>
    <w:autoRedefine/>
    <w:qFormat/>
    <w:uiPriority w:val="0"/>
    <w:pPr>
      <w:spacing w:line="360" w:lineRule="auto"/>
      <w:ind w:firstLine="480" w:firstLineChars="200"/>
    </w:pPr>
    <w:rPr>
      <w:rFonts w:hAnsi="宋体"/>
      <w:b w:val="0"/>
      <w:kern w:val="2"/>
      <w:szCs w:val="21"/>
    </w:rPr>
  </w:style>
  <w:style w:type="paragraph" w:customStyle="1" w:styleId="81">
    <w:name w:val="xl34"/>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szCs w:val="21"/>
    </w:rPr>
  </w:style>
  <w:style w:type="paragraph" w:customStyle="1" w:styleId="82">
    <w:name w:val="Table Paragraph"/>
    <w:basedOn w:val="1"/>
    <w:autoRedefine/>
    <w:qFormat/>
    <w:uiPriority w:val="1"/>
    <w:pPr>
      <w:spacing w:before="130"/>
      <w:jc w:val="center"/>
    </w:pPr>
    <w:rPr>
      <w:rFonts w:ascii="宋体" w:hAnsi="宋体" w:cs="宋体"/>
      <w:sz w:val="22"/>
      <w:szCs w:val="22"/>
      <w:lang w:eastAsia="en-US"/>
    </w:rPr>
  </w:style>
  <w:style w:type="paragraph" w:customStyle="1" w:styleId="83">
    <w:name w:val="我正文"/>
    <w:basedOn w:val="1"/>
    <w:autoRedefine/>
    <w:qFormat/>
    <w:uiPriority w:val="0"/>
    <w:pPr>
      <w:spacing w:line="360" w:lineRule="auto"/>
      <w:ind w:firstLine="480" w:firstLineChars="200"/>
    </w:pPr>
  </w:style>
  <w:style w:type="paragraph" w:customStyle="1" w:styleId="84">
    <w:name w:val="1"/>
    <w:basedOn w:val="1"/>
    <w:next w:val="17"/>
    <w:autoRedefine/>
    <w:qFormat/>
    <w:uiPriority w:val="0"/>
    <w:rPr>
      <w:rFonts w:ascii="宋体" w:hAnsi="Courier New"/>
      <w:szCs w:val="21"/>
    </w:rPr>
  </w:style>
  <w:style w:type="paragraph" w:customStyle="1" w:styleId="85">
    <w:name w:val="正文1"/>
    <w:basedOn w:val="1"/>
    <w:autoRedefine/>
    <w:qFormat/>
    <w:uiPriority w:val="0"/>
    <w:pPr>
      <w:spacing w:line="400" w:lineRule="exact"/>
      <w:ind w:firstLine="482"/>
    </w:pPr>
  </w:style>
  <w:style w:type="paragraph" w:customStyle="1" w:styleId="86">
    <w:name w:val="普通(网站)2"/>
    <w:basedOn w:val="1"/>
    <w:qFormat/>
    <w:uiPriority w:val="0"/>
    <w:pPr>
      <w:widowControl/>
      <w:spacing w:before="100" w:beforeAutospacing="1" w:after="100" w:afterAutospacing="1"/>
      <w:jc w:val="left"/>
    </w:pPr>
    <w:rPr>
      <w:rFonts w:ascii="宋体" w:hAnsi="宋体"/>
    </w:rPr>
  </w:style>
  <w:style w:type="paragraph" w:customStyle="1" w:styleId="87">
    <w:name w:val="Default"/>
    <w:autoRedefine/>
    <w:unhideWhenUsed/>
    <w:qFormat/>
    <w:uiPriority w:val="99"/>
    <w:pPr>
      <w:widowControl w:val="0"/>
      <w:autoSpaceDE w:val="0"/>
      <w:autoSpaceDN w:val="0"/>
      <w:adjustRightInd w:val="0"/>
    </w:pPr>
    <w:rPr>
      <w:rFonts w:ascii="宋体" w:hAnsi="宋体" w:eastAsia="宋体" w:cs="Times New Roman"/>
      <w:color w:val="000000"/>
      <w:sz w:val="24"/>
      <w:lang w:val="en-US" w:eastAsia="zh-CN" w:bidi="ar-SA"/>
    </w:rPr>
  </w:style>
  <w:style w:type="paragraph" w:customStyle="1" w:styleId="88">
    <w:name w:val="报告书"/>
    <w:basedOn w:val="1"/>
    <w:qFormat/>
    <w:uiPriority w:val="0"/>
    <w:pPr>
      <w:adjustRightInd w:val="0"/>
      <w:snapToGrid w:val="0"/>
      <w:spacing w:line="440" w:lineRule="atLeast"/>
      <w:ind w:firstLine="482"/>
      <w:textAlignment w:val="baseline"/>
    </w:pPr>
    <w:rPr>
      <w:rFonts w:ascii="宋体"/>
      <w:kern w:val="24"/>
    </w:rPr>
  </w:style>
  <w:style w:type="paragraph" w:customStyle="1" w:styleId="89">
    <w:name w:val="报告书正文"/>
    <w:basedOn w:val="1"/>
    <w:autoRedefine/>
    <w:qFormat/>
    <w:uiPriority w:val="0"/>
    <w:pPr>
      <w:spacing w:line="360" w:lineRule="auto"/>
    </w:pPr>
    <w:rPr>
      <w:szCs w:val="24"/>
    </w:rPr>
  </w:style>
  <w:style w:type="paragraph" w:customStyle="1" w:styleId="90">
    <w:name w:val="表头及表尾"/>
    <w:qFormat/>
    <w:uiPriority w:val="0"/>
    <w:pPr>
      <w:adjustRightInd w:val="0"/>
      <w:snapToGrid w:val="0"/>
      <w:spacing w:line="480" w:lineRule="exact"/>
      <w:jc w:val="center"/>
    </w:pPr>
    <w:rPr>
      <w:rFonts w:ascii="Times New Roman" w:hAnsi="Times New Roman" w:eastAsia="宋体" w:cs="Times New Roman"/>
      <w:b/>
      <w:snapToGrid w:val="0"/>
      <w:sz w:val="24"/>
      <w:szCs w:val="22"/>
      <w:lang w:val="en-US" w:eastAsia="zh-CN" w:bidi="ar-SA"/>
    </w:rPr>
  </w:style>
  <w:style w:type="paragraph" w:customStyle="1" w:styleId="91">
    <w:name w:val="00正文"/>
    <w:basedOn w:val="1"/>
    <w:autoRedefine/>
    <w:qFormat/>
    <w:uiPriority w:val="0"/>
  </w:style>
  <w:style w:type="paragraph" w:customStyle="1" w:styleId="92">
    <w:name w:val="环评正文"/>
    <w:basedOn w:val="1"/>
    <w:autoRedefine/>
    <w:qFormat/>
    <w:uiPriority w:val="0"/>
    <w:pPr>
      <w:spacing w:line="360" w:lineRule="auto"/>
      <w:ind w:firstLine="200" w:firstLineChars="200"/>
    </w:pPr>
    <w:rPr>
      <w:szCs w:val="24"/>
    </w:rPr>
  </w:style>
  <w:style w:type="table" w:customStyle="1" w:styleId="93">
    <w:name w:val="网格型4"/>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网格型2"/>
    <w:basedOn w:val="2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5">
    <w:name w:val="小四段落"/>
    <w:basedOn w:val="1"/>
    <w:autoRedefine/>
    <w:qFormat/>
    <w:uiPriority w:val="0"/>
    <w:pPr>
      <w:spacing w:line="360" w:lineRule="auto"/>
      <w:ind w:firstLine="602" w:firstLineChars="200"/>
    </w:pPr>
    <w:rPr>
      <w:kern w:val="2"/>
      <w:szCs w:val="24"/>
    </w:rPr>
  </w:style>
  <w:style w:type="paragraph" w:customStyle="1" w:styleId="96">
    <w:name w:val="表格文字"/>
    <w:basedOn w:val="1"/>
    <w:autoRedefine/>
    <w:qFormat/>
    <w:uiPriority w:val="0"/>
    <w:pPr>
      <w:jc w:val="center"/>
    </w:pPr>
  </w:style>
  <w:style w:type="paragraph" w:customStyle="1" w:styleId="97">
    <w:name w:val="其他"/>
    <w:basedOn w:val="1"/>
    <w:autoRedefine/>
    <w:qFormat/>
    <w:uiPriority w:val="0"/>
    <w:pPr>
      <w:spacing w:line="370" w:lineRule="exact"/>
      <w:jc w:val="center"/>
    </w:pPr>
    <w:rPr>
      <w:rFonts w:hint="eastAsia" w:ascii="宋体" w:hAnsi="宋体"/>
      <w:sz w:val="20"/>
    </w:rPr>
  </w:style>
  <w:style w:type="paragraph" w:customStyle="1" w:styleId="98">
    <w:name w:val="表格内"/>
    <w:basedOn w:val="1"/>
    <w:qFormat/>
    <w:uiPriority w:val="0"/>
    <w:pPr>
      <w:jc w:val="center"/>
    </w:pPr>
    <w:rPr>
      <w:szCs w:val="21"/>
    </w:rPr>
  </w:style>
  <w:style w:type="paragraph" w:customStyle="1" w:styleId="99">
    <w:name w:val="报告书表格"/>
    <w:basedOn w:val="1"/>
    <w:autoRedefine/>
    <w:qFormat/>
    <w:uiPriority w:val="0"/>
    <w:pPr>
      <w:adjustRightInd w:val="0"/>
      <w:spacing w:line="240" w:lineRule="atLeast"/>
      <w:jc w:val="center"/>
      <w:textAlignment w:val="baseline"/>
    </w:pPr>
    <w:rPr>
      <w:lang w:val="en-GB"/>
    </w:rPr>
  </w:style>
  <w:style w:type="paragraph" w:customStyle="1" w:styleId="100">
    <w:name w:val="表格、"/>
    <w:basedOn w:val="1"/>
    <w:qFormat/>
    <w:uiPriority w:val="0"/>
    <w:pPr>
      <w:jc w:val="center"/>
    </w:pPr>
    <w:rPr>
      <w:position w:val="6"/>
      <w:szCs w:val="21"/>
    </w:rPr>
  </w:style>
  <w:style w:type="paragraph" w:customStyle="1" w:styleId="101">
    <w:name w:val="表格填充1"/>
    <w:basedOn w:val="1"/>
    <w:autoRedefine/>
    <w:qFormat/>
    <w:uiPriority w:val="0"/>
    <w:pPr>
      <w:adjustRightInd w:val="0"/>
      <w:snapToGrid w:val="0"/>
      <w:spacing w:line="400" w:lineRule="exact"/>
      <w:jc w:val="center"/>
    </w:pPr>
    <w:rPr>
      <w:szCs w:val="18"/>
    </w:rPr>
  </w:style>
  <w:style w:type="paragraph" w:customStyle="1" w:styleId="102">
    <w:name w:val="分段标题"/>
    <w:basedOn w:val="103"/>
    <w:autoRedefine/>
    <w:qFormat/>
    <w:uiPriority w:val="0"/>
    <w:pPr>
      <w:adjustRightInd w:val="0"/>
      <w:snapToGrid w:val="0"/>
    </w:pPr>
    <w:rPr>
      <w:b/>
      <w:color w:val="000000"/>
    </w:rPr>
  </w:style>
  <w:style w:type="paragraph" w:customStyle="1" w:styleId="103">
    <w:name w:val="报告表正文1"/>
    <w:basedOn w:val="1"/>
    <w:autoRedefine/>
    <w:qFormat/>
    <w:uiPriority w:val="0"/>
    <w:pPr>
      <w:spacing w:line="480" w:lineRule="exact"/>
      <w:ind w:firstLine="200" w:firstLineChars="200"/>
    </w:pPr>
  </w:style>
  <w:style w:type="paragraph" w:customStyle="1" w:styleId="104">
    <w:name w:val="我表格标题"/>
    <w:basedOn w:val="1"/>
    <w:autoRedefine/>
    <w:qFormat/>
    <w:uiPriority w:val="0"/>
    <w:pPr>
      <w:jc w:val="center"/>
    </w:pPr>
    <w:rPr>
      <w:b/>
      <w:color w:val="000000"/>
    </w:rPr>
  </w:style>
  <w:style w:type="paragraph" w:customStyle="1" w:styleId="105">
    <w:name w:val="正文格式环评"/>
    <w:basedOn w:val="1"/>
    <w:autoRedefine/>
    <w:qFormat/>
    <w:uiPriority w:val="0"/>
    <w:pPr>
      <w:adjustRightInd w:val="0"/>
      <w:snapToGrid w:val="0"/>
      <w:spacing w:line="360" w:lineRule="auto"/>
      <w:ind w:firstLine="480" w:firstLineChars="200"/>
    </w:pPr>
    <w:rPr>
      <w:rFonts w:hint="eastAsia"/>
      <w:color w:val="000000" w:themeColor="text1"/>
      <w:szCs w:val="24"/>
      <w14:textFill>
        <w14:solidFill>
          <w14:schemeClr w14:val="tx1"/>
        </w14:solidFill>
      </w14:textFill>
    </w:rPr>
  </w:style>
  <w:style w:type="paragraph" w:customStyle="1" w:styleId="106">
    <w:name w:val="lh-正文-报告书"/>
    <w:qFormat/>
    <w:uiPriority w:val="0"/>
    <w:pPr>
      <w:widowControl w:val="0"/>
      <w:spacing w:line="360" w:lineRule="auto"/>
      <w:ind w:firstLine="200" w:firstLineChars="200"/>
      <w:jc w:val="both"/>
    </w:pPr>
    <w:rPr>
      <w:rFonts w:ascii="Times New Roman" w:hAnsi="Times New Roman" w:eastAsia="宋体" w:cs="Times New Roman"/>
      <w:snapToGrid w:val="0"/>
      <w:sz w:val="24"/>
      <w:szCs w:val="21"/>
      <w:lang w:val="en-GB" w:eastAsia="zh-CN" w:bidi="ar-SA"/>
    </w:rPr>
  </w:style>
  <w:style w:type="paragraph" w:customStyle="1" w:styleId="107">
    <w:name w:val="00005报告正文"/>
    <w:basedOn w:val="1"/>
    <w:autoRedefine/>
    <w:qFormat/>
    <w:uiPriority w:val="0"/>
    <w:pPr>
      <w:adjustRightInd w:val="0"/>
      <w:snapToGrid w:val="0"/>
      <w:spacing w:line="360" w:lineRule="auto"/>
      <w:ind w:firstLine="200" w:firstLineChars="200"/>
      <w:jc w:val="left"/>
    </w:pPr>
    <w:rPr>
      <w:sz w:val="24"/>
      <w:szCs w:val="24"/>
    </w:rPr>
  </w:style>
  <w:style w:type="paragraph" w:customStyle="1" w:styleId="108">
    <w:name w:val="lh-正文-报告表"/>
    <w:basedOn w:val="1"/>
    <w:autoRedefine/>
    <w:qFormat/>
    <w:uiPriority w:val="0"/>
    <w:pPr>
      <w:spacing w:line="360" w:lineRule="auto"/>
      <w:ind w:firstLine="480" w:firstLineChars="200"/>
    </w:pPr>
    <w:rPr>
      <w:kern w:val="0"/>
      <w:sz w:val="24"/>
      <w:szCs w:val="21"/>
    </w:rPr>
  </w:style>
  <w:style w:type="paragraph" w:customStyle="1" w:styleId="109">
    <w:name w:val="lh-表题--报告表"/>
    <w:basedOn w:val="1"/>
    <w:qFormat/>
    <w:uiPriority w:val="0"/>
    <w:pPr>
      <w:keepNext/>
      <w:widowControl/>
      <w:numPr>
        <w:ilvl w:val="0"/>
        <w:numId w:val="1"/>
      </w:numPr>
      <w:spacing w:before="156" w:beforeLines="50"/>
      <w:jc w:val="center"/>
    </w:pPr>
    <w:rPr>
      <w:snapToGrid w:val="0"/>
      <w:kern w:val="0"/>
      <w:sz w:val="24"/>
      <w:szCs w:val="21"/>
    </w:rPr>
  </w:style>
  <w:style w:type="paragraph" w:customStyle="1" w:styleId="110">
    <w:name w:val="lh-表格文字-报告表"/>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111">
    <w:name w:val="图名表头"/>
    <w:basedOn w:val="1"/>
    <w:autoRedefine/>
    <w:qFormat/>
    <w:uiPriority w:val="0"/>
    <w:pPr>
      <w:spacing w:line="360" w:lineRule="auto"/>
      <w:jc w:val="center"/>
    </w:pPr>
    <w:rPr>
      <w:sz w:val="24"/>
    </w:rPr>
  </w:style>
  <w:style w:type="paragraph" w:customStyle="1" w:styleId="112">
    <w:name w:val="lh-图题-报告表"/>
    <w:basedOn w:val="108"/>
    <w:next w:val="108"/>
    <w:qFormat/>
    <w:uiPriority w:val="0"/>
    <w:pPr>
      <w:numPr>
        <w:ilvl w:val="0"/>
        <w:numId w:val="2"/>
      </w:numPr>
      <w:ind w:firstLine="0" w:firstLineChars="0"/>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88</Pages>
  <Words>9298</Words>
  <Characters>53004</Characters>
  <Lines>441</Lines>
  <Paragraphs>124</Paragraphs>
  <TotalTime>62</TotalTime>
  <ScaleCrop>false</ScaleCrop>
  <LinksUpToDate>false</LinksUpToDate>
  <CharactersWithSpaces>62178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2023-09-21T07:40:00Z</dcterms:created>
  <dc:creator>lhj</dc:creator>
  <cp:lastModifiedBy>炒菜坚决不放姜</cp:lastModifiedBy>
  <cp:lastPrinted>2023-10-13T02:20:00Z</cp:lastPrinted>
  <dcterms:modified xsi:type="dcterms:W3CDTF">2023-12-25T01:18:26Z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933AE5B8C89E4F91BB81F9B7E5C0BA3F_13</vt:lpwstr>
  </property>
</Properties>
</file>